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iagrams/colors1.xml" ContentType="application/vnd.openxmlformats-officedocument.drawingml.diagramColors+xml"/>
  <Override PartName="/word/diagrams/data1.xml" ContentType="application/vnd.openxmlformats-officedocument.drawingml.diagramData+xml"/>
  <Override PartName="/word/diagrams/drawing1.xml" ContentType="application/vnd.ms-office.drawingml.diagramDrawing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ascii="微软雅黑" w:hAnsi="微软雅黑" w:eastAsia="微软雅黑"/>
          <w:b/>
          <w:bCs/>
          <w:color w:val="000000" w:themeColor="text1"/>
          <w:kern w:val="1"/>
          <w:sz w:val="72"/>
          <w:szCs w:val="48"/>
          <w14:textFill>
            <w14:solidFill>
              <w14:schemeClr w14:val="tx1"/>
            </w14:solidFill>
          </w14:textFill>
        </w:rPr>
      </w:pPr>
      <w:bookmarkStart w:id="0" w:name="_GoBack"/>
      <w:bookmarkEnd w:id="0"/>
      <w:r>
        <w:rPr>
          <w:rFonts w:ascii="微软雅黑" w:hAnsi="微软雅黑" w:eastAsia="微软雅黑"/>
          <w:b/>
          <w:bCs/>
          <w:color w:val="000000" w:themeColor="text1"/>
          <w:kern w:val="1"/>
          <w:sz w:val="72"/>
          <w:szCs w:val="48"/>
          <w14:textFill>
            <w14:solidFill>
              <w14:schemeClr w14:val="tx1"/>
            </w14:solidFill>
          </w14:textFill>
        </w:rPr>
        <w:t>大梦想</w:t>
      </w:r>
      <w:r>
        <w:rPr>
          <w:rFonts w:hint="eastAsia" w:ascii="微软雅黑" w:hAnsi="微软雅黑" w:eastAsia="微软雅黑"/>
          <w:b/>
          <w:bCs/>
          <w:color w:val="000000" w:themeColor="text1"/>
          <w:kern w:val="1"/>
          <w:sz w:val="72"/>
          <w:szCs w:val="48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微软雅黑" w:hAnsi="微软雅黑" w:eastAsia="微软雅黑"/>
          <w:b/>
          <w:bCs/>
          <w:color w:val="000000" w:themeColor="text1"/>
          <w:kern w:val="1"/>
          <w:sz w:val="72"/>
          <w:szCs w:val="48"/>
          <w14:textFill>
            <w14:solidFill>
              <w14:schemeClr w14:val="tx1"/>
            </w14:solidFill>
          </w14:textFill>
        </w:rPr>
        <w:t>正当时</w:t>
      </w:r>
    </w:p>
    <w:p>
      <w:pPr>
        <w:spacing w:line="360" w:lineRule="auto"/>
        <w:jc w:val="center"/>
        <w:rPr>
          <w:rFonts w:ascii="微软雅黑" w:hAnsi="微软雅黑" w:eastAsia="微软雅黑"/>
          <w:bCs/>
          <w:color w:val="000000" w:themeColor="text1"/>
          <w:kern w:val="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/>
          <w:bCs/>
          <w:color w:val="000000" w:themeColor="text1"/>
          <w:kern w:val="1"/>
          <w:sz w:val="28"/>
          <w:szCs w:val="28"/>
          <w14:textFill>
            <w14:solidFill>
              <w14:schemeClr w14:val="tx1"/>
            </w14:solidFill>
          </w14:textFill>
        </w:rPr>
        <w:t>——</w:t>
      </w:r>
      <w:r>
        <w:rPr>
          <w:rFonts w:ascii="微软雅黑" w:hAnsi="微软雅黑" w:eastAsia="微软雅黑"/>
          <w:bCs/>
          <w:color w:val="000000" w:themeColor="text1"/>
          <w:kern w:val="1"/>
          <w:sz w:val="28"/>
          <w:szCs w:val="28"/>
          <w14:textFill>
            <w14:solidFill>
              <w14:schemeClr w14:val="tx1"/>
            </w14:solidFill>
          </w14:textFill>
        </w:rPr>
        <w:t>与谁同行</w:t>
      </w:r>
      <w:r>
        <w:rPr>
          <w:rFonts w:hint="eastAsia" w:ascii="微软雅黑" w:hAnsi="微软雅黑" w:eastAsia="微软雅黑"/>
          <w:bCs/>
          <w:color w:val="000000" w:themeColor="text1"/>
          <w:kern w:val="1"/>
          <w:sz w:val="28"/>
          <w:szCs w:val="28"/>
          <w14:textFill>
            <w14:solidFill>
              <w14:schemeClr w14:val="tx1"/>
            </w14:solidFill>
          </w14:textFill>
        </w:rPr>
        <w:t>，决定了你能走多远</w:t>
      </w:r>
    </w:p>
    <w:p>
      <w:pPr>
        <w:spacing w:line="360" w:lineRule="auto"/>
        <w:rPr>
          <w:rFonts w:ascii="微软雅黑" w:hAnsi="微软雅黑" w:eastAsia="微软雅黑"/>
          <w:szCs w:val="22"/>
        </w:rPr>
      </w:pPr>
      <w:r>
        <w:rPr>
          <w:rFonts w:ascii="微软雅黑" w:hAnsi="微软雅黑" w:eastAsia="微软雅黑"/>
          <w:szCs w:val="22"/>
        </w:rPr>
        <w:t>聘用公司</w:t>
      </w:r>
      <w:r>
        <w:rPr>
          <w:rFonts w:hint="eastAsia" w:ascii="微软雅黑" w:hAnsi="微软雅黑" w:eastAsia="微软雅黑"/>
          <w:szCs w:val="22"/>
        </w:rPr>
        <w:t>：</w:t>
      </w:r>
      <w:r>
        <w:rPr>
          <w:rFonts w:ascii="微软雅黑" w:hAnsi="微软雅黑" w:eastAsia="微软雅黑"/>
          <w:szCs w:val="22"/>
        </w:rPr>
        <w:t>深圳慧通商务有限公司</w:t>
      </w:r>
      <w:r>
        <w:rPr>
          <w:rFonts w:hint="eastAsia" w:ascii="微软雅黑" w:hAnsi="微软雅黑" w:eastAsia="微软雅黑"/>
          <w:szCs w:val="22"/>
        </w:rPr>
        <w:t>（华为全资子公司）</w:t>
      </w:r>
    </w:p>
    <w:p>
      <w:pPr>
        <w:pStyle w:val="8"/>
        <w:numPr>
          <w:ilvl w:val="0"/>
          <w:numId w:val="2"/>
        </w:numPr>
        <w:spacing w:line="0" w:lineRule="atLeast"/>
        <w:ind w:firstLineChars="0"/>
        <w:rPr>
          <w:rFonts w:ascii="微软雅黑" w:hAnsi="微软雅黑" w:eastAsia="微软雅黑"/>
          <w:b/>
          <w:color w:val="C00000"/>
          <w:sz w:val="24"/>
          <w:szCs w:val="20"/>
        </w:rPr>
      </w:pPr>
      <w:r>
        <w:rPr>
          <w:rFonts w:ascii="微软雅黑" w:hAnsi="微软雅黑" w:eastAsia="微软雅黑"/>
          <w:b/>
          <w:color w:val="C00000"/>
          <w:sz w:val="24"/>
          <w:szCs w:val="20"/>
        </w:rPr>
        <w:t>与谁同行</w:t>
      </w:r>
      <w:r>
        <w:rPr>
          <w:rFonts w:hint="eastAsia" w:ascii="微软雅黑" w:hAnsi="微软雅黑" w:eastAsia="微软雅黑"/>
          <w:b/>
          <w:color w:val="C00000"/>
          <w:sz w:val="24"/>
          <w:szCs w:val="20"/>
        </w:rPr>
        <w:t>，</w:t>
      </w:r>
      <w:r>
        <w:rPr>
          <w:rFonts w:ascii="微软雅黑" w:hAnsi="微软雅黑" w:eastAsia="微软雅黑"/>
          <w:b/>
          <w:color w:val="C00000"/>
          <w:sz w:val="24"/>
          <w:szCs w:val="20"/>
        </w:rPr>
        <w:t>决定了你能走多远</w:t>
      </w:r>
      <w:r>
        <w:rPr>
          <w:rFonts w:hint="eastAsia" w:ascii="微软雅黑" w:hAnsi="微软雅黑" w:eastAsia="微软雅黑"/>
          <w:b/>
          <w:color w:val="C00000"/>
          <w:sz w:val="24"/>
          <w:szCs w:val="20"/>
        </w:rPr>
        <w:t>——</w:t>
      </w:r>
      <w:r>
        <w:rPr>
          <w:rFonts w:ascii="微软雅黑" w:hAnsi="微软雅黑" w:eastAsia="微软雅黑"/>
          <w:b/>
          <w:color w:val="C00000"/>
          <w:sz w:val="24"/>
          <w:szCs w:val="20"/>
        </w:rPr>
        <w:t>公司简介</w:t>
      </w:r>
    </w:p>
    <w:p>
      <w:pPr>
        <w:spacing w:line="360" w:lineRule="auto"/>
        <w:ind w:firstLine="420" w:firstLineChars="200"/>
        <w:rPr>
          <w:rFonts w:ascii="微软雅黑" w:hAnsi="微软雅黑" w:eastAsia="微软雅黑"/>
          <w:szCs w:val="22"/>
        </w:rPr>
      </w:pPr>
      <w:r>
        <w:rPr>
          <w:rFonts w:ascii="微软雅黑" w:hAnsi="微软雅黑" w:eastAsia="微软雅黑"/>
          <w:szCs w:val="22"/>
        </w:rPr>
        <w:t>华为是全球领先的</w:t>
      </w:r>
      <w:r>
        <w:rPr>
          <w:rFonts w:hint="eastAsia" w:ascii="微软雅黑" w:hAnsi="微软雅黑" w:eastAsia="微软雅黑"/>
          <w:szCs w:val="22"/>
        </w:rPr>
        <w:t>I</w:t>
      </w:r>
      <w:r>
        <w:rPr>
          <w:rFonts w:ascii="微软雅黑" w:hAnsi="微软雅黑" w:eastAsia="微软雅黑"/>
          <w:szCs w:val="22"/>
        </w:rPr>
        <w:t>CT</w:t>
      </w:r>
      <w:r>
        <w:rPr>
          <w:rFonts w:hint="eastAsia" w:ascii="微软雅黑" w:hAnsi="微软雅黑" w:eastAsia="微软雅黑"/>
          <w:szCs w:val="22"/>
        </w:rPr>
        <w:t>（信息与通信）基础设施和智能终端提供商，致力于把数字世界带入每个人、每个家庭、每个组织，构建万物互联的智能世界。</w:t>
      </w:r>
    </w:p>
    <w:p>
      <w:pPr>
        <w:spacing w:line="360" w:lineRule="auto"/>
        <w:ind w:firstLine="420" w:firstLineChars="200"/>
        <w:rPr>
          <w:rFonts w:ascii="微软雅黑" w:hAnsi="微软雅黑" w:eastAsia="微软雅黑"/>
          <w:szCs w:val="22"/>
        </w:rPr>
      </w:pPr>
      <w:r>
        <w:rPr>
          <w:rFonts w:hint="eastAsia" w:ascii="微软雅黑" w:hAnsi="微软雅黑" w:eastAsia="微软雅黑"/>
          <w:szCs w:val="22"/>
        </w:rPr>
        <w:t>华为消费者业务已连续几年实现高速增长，全场景生态战略发展下，手机、PC、平板、可穿戴设备、移动宽带终端、家庭终端、消费者云等均实现健康、快速增长。</w:t>
      </w:r>
    </w:p>
    <w:p>
      <w:pPr>
        <w:spacing w:line="360" w:lineRule="auto"/>
        <w:ind w:firstLine="420" w:firstLineChars="200"/>
        <w:rPr>
          <w:rFonts w:ascii="微软雅黑" w:hAnsi="微软雅黑" w:eastAsia="微软雅黑"/>
          <w:szCs w:val="22"/>
        </w:rPr>
      </w:pPr>
      <w:r>
        <w:rPr>
          <w:rFonts w:hint="eastAsia" w:ascii="微软雅黑" w:hAnsi="微软雅黑" w:eastAsia="微软雅黑"/>
          <w:szCs w:val="22"/>
        </w:rPr>
        <w:t>深圳慧通商务有限公司为华为投资控股有限公司全资子公司，以市场化的方式面向华为及其他大中型企业提供高端服务，同时为消费者业务提供相关服务。</w:t>
      </w:r>
    </w:p>
    <w:p>
      <w:pPr>
        <w:rPr>
          <w:sz w:val="20"/>
          <w:szCs w:val="20"/>
        </w:rPr>
      </w:pPr>
      <w:r>
        <w:rPr>
          <w:rFonts w:hint="eastAsia"/>
          <w:sz w:val="20"/>
          <w:szCs w:val="20"/>
        </w:rPr>
        <w:drawing>
          <wp:inline distT="0" distB="0" distL="0" distR="0">
            <wp:extent cx="2436495" cy="1591945"/>
            <wp:effectExtent l="0" t="0" r="1905" b="8255"/>
            <wp:docPr id="11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14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E1E1E1"/>
                        </a:clrFrom>
                        <a:clrTo>
                          <a:srgbClr val="E1E1E1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3" t="10587" r="1401"/>
                    <a:stretch>
                      <a:fillRect/>
                    </a:stretch>
                  </pic:blipFill>
                  <pic:spPr>
                    <a:xfrm>
                      <a:off x="0" y="0"/>
                      <a:ext cx="2496197" cy="163066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31750"/>
                    </a:effectLst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 </w:t>
      </w:r>
      <w:r>
        <w:rPr>
          <w:sz w:val="20"/>
          <w:szCs w:val="20"/>
        </w:rPr>
        <w:drawing>
          <wp:inline distT="0" distB="0" distL="0" distR="0">
            <wp:extent cx="2482850" cy="1602740"/>
            <wp:effectExtent l="0" t="0" r="0" b="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15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9789" r="674" b="1892"/>
                    <a:stretch>
                      <a:fillRect/>
                    </a:stretch>
                  </pic:blipFill>
                  <pic:spPr>
                    <a:xfrm>
                      <a:off x="0" y="0"/>
                      <a:ext cx="2482948" cy="16027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31750"/>
                    </a:effectLst>
                  </pic:spPr>
                </pic:pic>
              </a:graphicData>
            </a:graphic>
          </wp:inline>
        </w:drawing>
      </w:r>
    </w:p>
    <w:p>
      <w:pPr>
        <w:rPr>
          <w:sz w:val="20"/>
          <w:szCs w:val="20"/>
        </w:rPr>
      </w:pPr>
      <w:r>
        <w:rPr>
          <w:sz w:val="20"/>
          <w:szCs w:val="20"/>
        </w:rPr>
        <w:drawing>
          <wp:inline distT="0" distB="0" distL="0" distR="0">
            <wp:extent cx="4870450" cy="2329815"/>
            <wp:effectExtent l="0" t="0" r="6350" b="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9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6775" cy="235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8"/>
        <w:numPr>
          <w:ilvl w:val="0"/>
          <w:numId w:val="2"/>
        </w:numPr>
        <w:spacing w:line="0" w:lineRule="atLeast"/>
        <w:ind w:firstLineChars="0"/>
        <w:rPr>
          <w:rFonts w:ascii="微软雅黑" w:hAnsi="微软雅黑" w:eastAsia="微软雅黑"/>
          <w:b/>
          <w:color w:val="C00000"/>
          <w:sz w:val="24"/>
          <w:szCs w:val="20"/>
        </w:rPr>
      </w:pPr>
      <w:r>
        <w:rPr>
          <w:rFonts w:hint="eastAsia" w:ascii="微软雅黑" w:hAnsi="微软雅黑" w:eastAsia="微软雅黑"/>
          <w:b/>
          <w:color w:val="C00000"/>
          <w:sz w:val="24"/>
          <w:szCs w:val="20"/>
        </w:rPr>
        <w:t>在这里你将代表华为与全球消费者沟通对话</w:t>
      </w:r>
    </w:p>
    <w:p>
      <w:pPr>
        <w:pStyle w:val="8"/>
        <w:numPr>
          <w:ilvl w:val="0"/>
          <w:numId w:val="3"/>
        </w:numPr>
        <w:ind w:firstLineChars="0"/>
        <w:jc w:val="left"/>
        <w:rPr>
          <w:rFonts w:ascii="微软雅黑" w:hAnsi="微软雅黑" w:eastAsia="微软雅黑"/>
          <w:sz w:val="20"/>
          <w:szCs w:val="20"/>
        </w:rPr>
      </w:pPr>
      <w:r>
        <w:rPr>
          <w:rFonts w:hint="eastAsia" w:ascii="微软雅黑" w:hAnsi="微软雅黑" w:eastAsia="微软雅黑"/>
          <w:b/>
          <w:sz w:val="22"/>
          <w:szCs w:val="22"/>
        </w:rPr>
        <w:t>全方位赋能，助你一路成长</w:t>
      </w:r>
      <w:r>
        <w:rPr>
          <w:rFonts w:hint="eastAsia"/>
          <w:sz w:val="20"/>
          <w:szCs w:val="20"/>
        </w:rPr>
        <w:drawing>
          <wp:inline distT="0" distB="0" distL="0" distR="0">
            <wp:extent cx="5331460" cy="801370"/>
            <wp:effectExtent l="0" t="0" r="0" b="17780"/>
            <wp:docPr id="2" name="图示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9" r:lo="rId10" r:qs="rId11" r:cs="rId12"/>
              </a:graphicData>
            </a:graphic>
          </wp:inline>
        </w:drawing>
      </w:r>
    </w:p>
    <w:p>
      <w:pPr>
        <w:pStyle w:val="8"/>
        <w:numPr>
          <w:ilvl w:val="0"/>
          <w:numId w:val="3"/>
        </w:numPr>
        <w:ind w:firstLineChars="0"/>
        <w:rPr>
          <w:rFonts w:ascii="微软雅黑" w:hAnsi="微软雅黑" w:eastAsia="微软雅黑"/>
          <w:b/>
          <w:sz w:val="22"/>
          <w:szCs w:val="22"/>
        </w:rPr>
      </w:pPr>
      <w:r>
        <w:rPr>
          <w:rFonts w:ascii="微软雅黑" w:hAnsi="微软雅黑" w:eastAsia="微软雅黑"/>
          <w:b/>
          <w:sz w:val="22"/>
          <w:szCs w:val="22"/>
        </w:rPr>
        <w:t>具有竞争力的薪酬回报</w:t>
      </w:r>
    </w:p>
    <w:p>
      <w:pPr>
        <w:ind w:firstLine="420" w:firstLineChars="200"/>
        <w:jc w:val="center"/>
        <w:rPr>
          <w:rFonts w:ascii="微软雅黑" w:hAnsi="微软雅黑" w:eastAsia="微软雅黑"/>
          <w:szCs w:val="22"/>
        </w:rPr>
      </w:pPr>
      <w:r>
        <w:rPr>
          <w:rFonts w:ascii="微软雅黑" w:hAnsi="微软雅黑" w:eastAsia="微软雅黑"/>
          <w:szCs w:val="22"/>
        </w:rPr>
        <w:t>基本工资</w:t>
      </w:r>
      <w:r>
        <w:rPr>
          <w:rFonts w:hint="eastAsia" w:ascii="微软雅黑" w:hAnsi="微软雅黑" w:eastAsia="微软雅黑"/>
          <w:szCs w:val="22"/>
        </w:rPr>
        <w:t>+</w:t>
      </w:r>
      <w:r>
        <w:rPr>
          <w:rFonts w:ascii="微软雅黑" w:hAnsi="微软雅黑" w:eastAsia="微软雅黑"/>
          <w:szCs w:val="22"/>
        </w:rPr>
        <w:t>绩效工资</w:t>
      </w:r>
      <w:r>
        <w:rPr>
          <w:rFonts w:hint="eastAsia" w:ascii="微软雅黑" w:hAnsi="微软雅黑" w:eastAsia="微软雅黑"/>
          <w:szCs w:val="22"/>
        </w:rPr>
        <w:t>+</w:t>
      </w:r>
      <w:r>
        <w:rPr>
          <w:rFonts w:ascii="微软雅黑" w:hAnsi="微软雅黑" w:eastAsia="微软雅黑"/>
          <w:szCs w:val="22"/>
        </w:rPr>
        <w:t>奖金</w:t>
      </w:r>
      <w:r>
        <w:rPr>
          <w:rFonts w:hint="eastAsia" w:ascii="微软雅黑" w:hAnsi="微软雅黑" w:eastAsia="微软雅黑"/>
          <w:szCs w:val="22"/>
        </w:rPr>
        <w:t>+</w:t>
      </w:r>
      <w:r>
        <w:rPr>
          <w:rFonts w:ascii="微软雅黑" w:hAnsi="微软雅黑" w:eastAsia="微软雅黑"/>
          <w:szCs w:val="22"/>
        </w:rPr>
        <w:t>福利保障</w:t>
      </w:r>
      <w:r>
        <w:rPr>
          <w:rFonts w:hint="eastAsia" w:ascii="微软雅黑" w:hAnsi="微软雅黑" w:eastAsia="微软雅黑"/>
          <w:szCs w:val="22"/>
        </w:rPr>
        <w:t>（五险一金+商业险+多元化激励奖金+补助）</w:t>
      </w:r>
    </w:p>
    <w:p>
      <w:pPr>
        <w:ind w:firstLine="420" w:firstLineChars="200"/>
        <w:rPr>
          <w:rFonts w:ascii="微软雅黑" w:hAnsi="微软雅黑" w:eastAsia="微软雅黑"/>
          <w:szCs w:val="22"/>
        </w:rPr>
      </w:pPr>
      <w:r>
        <w:rPr>
          <w:rFonts w:ascii="微软雅黑" w:hAnsi="微软雅黑" w:eastAsia="微软雅黑"/>
          <w:szCs w:val="22"/>
        </w:rPr>
        <w:t>（综合薪资6-9K</w:t>
      </w:r>
      <w:r>
        <w:rPr>
          <w:rFonts w:hint="eastAsia" w:ascii="微软雅黑" w:hAnsi="微软雅黑" w:eastAsia="微软雅黑"/>
          <w:szCs w:val="22"/>
        </w:rPr>
        <w:t>/月，根据岗位进行匹配，具体以面试签约沟通情况为准）</w:t>
      </w:r>
    </w:p>
    <w:p>
      <w:pPr>
        <w:pStyle w:val="8"/>
        <w:numPr>
          <w:ilvl w:val="0"/>
          <w:numId w:val="4"/>
        </w:numPr>
        <w:ind w:firstLineChars="0"/>
        <w:rPr>
          <w:rFonts w:ascii="微软雅黑" w:hAnsi="微软雅黑" w:eastAsia="微软雅黑"/>
          <w:sz w:val="22"/>
          <w:szCs w:val="22"/>
        </w:rPr>
      </w:pPr>
      <w:r>
        <w:rPr>
          <w:rFonts w:ascii="微软雅黑" w:hAnsi="微软雅黑" w:eastAsia="微软雅黑"/>
          <w:b/>
          <w:sz w:val="22"/>
          <w:szCs w:val="22"/>
        </w:rPr>
        <w:t>有温度的工作氛围</w:t>
      </w:r>
    </w:p>
    <w:p>
      <w:pPr>
        <w:ind w:firstLine="400" w:firstLineChars="200"/>
        <w:rPr>
          <w:rFonts w:ascii="微软雅黑" w:hAnsi="微软雅黑" w:eastAsia="微软雅黑"/>
          <w:sz w:val="20"/>
          <w:szCs w:val="20"/>
        </w:rPr>
      </w:pPr>
      <w:r>
        <w:rPr>
          <w:rFonts w:hint="eastAsia" w:ascii="微软雅黑" w:hAnsi="微软雅黑" w:eastAsia="微软雅黑"/>
          <w:sz w:val="20"/>
          <w:szCs w:val="20"/>
        </w:rPr>
        <w:t>我们崇尚简单、高效的工作氛围，为大家提供多元的办公环境，在每个关键的日子为大家送上关怀，还会定期组织问题活动、团建活动等。</w:t>
      </w:r>
    </w:p>
    <w:p>
      <w:pPr>
        <w:jc w:val="center"/>
        <w:rPr>
          <w:sz w:val="20"/>
          <w:szCs w:val="20"/>
        </w:rPr>
      </w:pPr>
      <w:r>
        <w:rPr>
          <w:rFonts w:hint="eastAsia"/>
          <w:sz w:val="20"/>
          <w:szCs w:val="20"/>
        </w:rPr>
        <w:drawing>
          <wp:inline distT="0" distB="0" distL="0" distR="0">
            <wp:extent cx="3185795" cy="3193415"/>
            <wp:effectExtent l="0" t="0" r="0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2615" cy="3209940"/>
                    </a:xfrm>
                    <a:prstGeom prst="rect">
                      <a:avLst/>
                    </a:prstGeom>
                    <a:effectLst>
                      <a:softEdge rad="31750"/>
                    </a:effectLst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/>
          <w:sz w:val="18"/>
          <w:szCs w:val="18"/>
        </w:rPr>
        <w:t xml:space="preserve"> </w:t>
      </w:r>
      <w:r>
        <w:rPr>
          <w:rFonts w:ascii="微软雅黑" w:hAnsi="微软雅黑" w:eastAsia="微软雅黑"/>
          <w:sz w:val="18"/>
          <w:szCs w:val="18"/>
        </w:rPr>
        <w:t xml:space="preserve">  </w:t>
      </w:r>
    </w:p>
    <w:p>
      <w:pPr>
        <w:jc w:val="center"/>
        <w:rPr>
          <w:rFonts w:ascii="微软雅黑" w:hAnsi="微软雅黑" w:eastAsia="微软雅黑"/>
          <w:sz w:val="18"/>
          <w:szCs w:val="18"/>
        </w:rPr>
      </w:pPr>
    </w:p>
    <w:p>
      <w:pPr>
        <w:spacing w:line="0" w:lineRule="atLeast"/>
        <w:rPr>
          <w:rFonts w:ascii="微软雅黑" w:hAnsi="微软雅黑" w:eastAsia="微软雅黑"/>
          <w:b/>
          <w:sz w:val="18"/>
          <w:szCs w:val="20"/>
        </w:rPr>
      </w:pP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8"/>
        <w:numPr>
          <w:ilvl w:val="0"/>
          <w:numId w:val="2"/>
        </w:numPr>
        <w:spacing w:line="0" w:lineRule="atLeast"/>
        <w:ind w:firstLineChars="0"/>
        <w:rPr>
          <w:rFonts w:ascii="微软雅黑" w:hAnsi="微软雅黑" w:eastAsia="微软雅黑"/>
          <w:b/>
          <w:color w:val="C00000"/>
          <w:sz w:val="24"/>
          <w:szCs w:val="20"/>
        </w:rPr>
      </w:pPr>
      <w:r>
        <w:rPr>
          <w:rFonts w:ascii="微软雅黑" w:hAnsi="微软雅黑" w:eastAsia="微软雅黑"/>
          <w:b/>
          <w:color w:val="C00000"/>
          <w:sz w:val="24"/>
          <w:szCs w:val="20"/>
        </w:rPr>
        <w:t>能力多大</w:t>
      </w:r>
      <w:r>
        <w:rPr>
          <w:rFonts w:hint="eastAsia" w:ascii="微软雅黑" w:hAnsi="微软雅黑" w:eastAsia="微软雅黑"/>
          <w:b/>
          <w:color w:val="C00000"/>
          <w:sz w:val="24"/>
          <w:szCs w:val="20"/>
        </w:rPr>
        <w:t>，</w:t>
      </w:r>
      <w:r>
        <w:rPr>
          <w:rFonts w:ascii="微软雅黑" w:hAnsi="微软雅黑" w:eastAsia="微软雅黑"/>
          <w:b/>
          <w:color w:val="C00000"/>
          <w:sz w:val="24"/>
          <w:szCs w:val="20"/>
        </w:rPr>
        <w:t>舞台就有多大</w:t>
      </w:r>
      <w:r>
        <w:rPr>
          <w:rFonts w:hint="eastAsia" w:ascii="微软雅黑" w:hAnsi="微软雅黑" w:eastAsia="微软雅黑"/>
          <w:b/>
          <w:color w:val="C00000"/>
          <w:sz w:val="24"/>
          <w:szCs w:val="20"/>
        </w:rPr>
        <w:t>——</w:t>
      </w:r>
      <w:r>
        <w:rPr>
          <w:rFonts w:ascii="微软雅黑" w:hAnsi="微软雅黑" w:eastAsia="微软雅黑"/>
          <w:b/>
          <w:color w:val="C00000"/>
          <w:sz w:val="24"/>
          <w:szCs w:val="20"/>
        </w:rPr>
        <w:t>岗位介绍</w:t>
      </w:r>
    </w:p>
    <w:tbl>
      <w:tblPr>
        <w:tblStyle w:val="5"/>
        <w:tblW w:w="834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560"/>
        <w:gridCol w:w="678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21" w:hRule="atLeast"/>
        </w:trPr>
        <w:tc>
          <w:tcPr>
            <w:tcW w:w="1560" w:type="dxa"/>
            <w:shd w:val="clear" w:color="auto" w:fill="E7E6E6" w:themeFill="background2"/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jc w:val="center"/>
              <w:rPr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岗位</w:t>
            </w:r>
          </w:p>
        </w:tc>
        <w:tc>
          <w:tcPr>
            <w:tcW w:w="6784" w:type="dxa"/>
            <w:shd w:val="clear" w:color="auto" w:fill="E7E6E6" w:themeFill="background2"/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jc w:val="center"/>
              <w:rPr>
                <w:b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岗位职责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47" w:hRule="atLeast"/>
        </w:trPr>
        <w:tc>
          <w:tcPr>
            <w:tcW w:w="156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rPr>
                <w:rFonts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体验店顾问</w:t>
            </w:r>
          </w:p>
        </w:tc>
        <w:tc>
          <w:tcPr>
            <w:tcW w:w="678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pStyle w:val="8"/>
              <w:numPr>
                <w:ilvl w:val="0"/>
                <w:numId w:val="5"/>
              </w:numPr>
              <w:spacing w:line="400" w:lineRule="exact"/>
              <w:ind w:firstLineChars="0"/>
              <w:rPr>
                <w:rFonts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洞察消费者需求，提供创意性解决方案，营造最佳的消费体验 </w:t>
            </w:r>
          </w:p>
          <w:p>
            <w:pPr>
              <w:pStyle w:val="8"/>
              <w:numPr>
                <w:ilvl w:val="0"/>
                <w:numId w:val="5"/>
              </w:numPr>
              <w:spacing w:line="400" w:lineRule="exact"/>
              <w:ind w:firstLineChars="0"/>
              <w:rPr>
                <w:rFonts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维护店面视觉陈列，开展对外培训课堂及售后服务等</w:t>
            </w:r>
          </w:p>
          <w:p>
            <w:pPr>
              <w:pStyle w:val="8"/>
              <w:numPr>
                <w:ilvl w:val="0"/>
                <w:numId w:val="5"/>
              </w:numPr>
              <w:spacing w:line="400" w:lineRule="exact"/>
              <w:ind w:firstLineChars="0"/>
              <w:rPr>
                <w:rFonts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掌握产品及市场活动最新动态，提升消费者满意度，提升品牌形象</w:t>
            </w:r>
          </w:p>
          <w:p>
            <w:pPr>
              <w:pStyle w:val="8"/>
              <w:numPr>
                <w:ilvl w:val="0"/>
                <w:numId w:val="5"/>
              </w:numPr>
              <w:spacing w:line="400" w:lineRule="exact"/>
              <w:ind w:firstLineChars="0"/>
              <w:rPr>
                <w:rFonts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培训、辅导门店员工，提升团队专业性、销售能力、门店运营能力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80" w:hRule="atLeast"/>
        </w:trPr>
        <w:tc>
          <w:tcPr>
            <w:tcW w:w="156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rPr>
                <w:rFonts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服务体验顾问</w:t>
            </w:r>
          </w:p>
        </w:tc>
        <w:tc>
          <w:tcPr>
            <w:tcW w:w="678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pStyle w:val="8"/>
              <w:numPr>
                <w:ilvl w:val="0"/>
                <w:numId w:val="6"/>
              </w:numPr>
              <w:spacing w:line="400" w:lineRule="exact"/>
              <w:ind w:firstLineChars="0"/>
              <w:rPr>
                <w:rFonts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负责消费者维修需求预处理，提升服务效率</w:t>
            </w:r>
          </w:p>
          <w:p>
            <w:pPr>
              <w:pStyle w:val="8"/>
              <w:numPr>
                <w:ilvl w:val="0"/>
                <w:numId w:val="6"/>
              </w:numPr>
              <w:spacing w:line="400" w:lineRule="exact"/>
              <w:ind w:firstLineChars="0"/>
              <w:rPr>
                <w:rFonts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负责消费者咨询和沟通，帮助消费者解决相关售后问题</w:t>
            </w:r>
          </w:p>
          <w:p>
            <w:pPr>
              <w:pStyle w:val="8"/>
              <w:numPr>
                <w:ilvl w:val="0"/>
                <w:numId w:val="6"/>
              </w:numPr>
              <w:spacing w:line="400" w:lineRule="exact"/>
              <w:ind w:firstLineChars="0"/>
              <w:rPr>
                <w:rFonts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协助店长组织服务和技术培训，提升服务店技术水平</w:t>
            </w:r>
          </w:p>
          <w:p>
            <w:pPr>
              <w:pStyle w:val="8"/>
              <w:numPr>
                <w:ilvl w:val="0"/>
                <w:numId w:val="6"/>
              </w:numPr>
              <w:spacing w:line="400" w:lineRule="exact"/>
              <w:ind w:firstLineChars="0"/>
              <w:rPr>
                <w:rFonts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负责店面消费者声音管理，开展消费者大讲堂等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37" w:hRule="atLeast"/>
        </w:trPr>
        <w:tc>
          <w:tcPr>
            <w:tcW w:w="156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rPr>
                <w:rFonts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服务技术顾问</w:t>
            </w:r>
          </w:p>
        </w:tc>
        <w:tc>
          <w:tcPr>
            <w:tcW w:w="678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pStyle w:val="8"/>
              <w:numPr>
                <w:ilvl w:val="0"/>
                <w:numId w:val="6"/>
              </w:numPr>
              <w:spacing w:line="400" w:lineRule="exact"/>
              <w:ind w:firstLineChars="0"/>
              <w:rPr>
                <w:rFonts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负责终端产品技术支持，解答消费者疑难咨询</w:t>
            </w:r>
          </w:p>
          <w:p>
            <w:pPr>
              <w:pStyle w:val="8"/>
              <w:numPr>
                <w:ilvl w:val="0"/>
                <w:numId w:val="6"/>
              </w:numPr>
              <w:spacing w:line="400" w:lineRule="exact"/>
              <w:ind w:firstLineChars="0"/>
              <w:rPr>
                <w:rFonts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受理并解决产品故障问题，提供全套解决方案</w:t>
            </w:r>
          </w:p>
          <w:p>
            <w:pPr>
              <w:pStyle w:val="8"/>
              <w:numPr>
                <w:ilvl w:val="0"/>
                <w:numId w:val="6"/>
              </w:numPr>
              <w:spacing w:line="400" w:lineRule="exact"/>
              <w:ind w:firstLineChars="0"/>
              <w:rPr>
                <w:rFonts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负责店面消费者声音管理，开展消费者大讲堂等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88" w:hRule="atLeast"/>
        </w:trPr>
        <w:tc>
          <w:tcPr>
            <w:tcW w:w="156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rPr>
                <w:rFonts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终端培训师</w:t>
            </w:r>
          </w:p>
        </w:tc>
        <w:tc>
          <w:tcPr>
            <w:tcW w:w="678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pStyle w:val="8"/>
              <w:numPr>
                <w:ilvl w:val="0"/>
                <w:numId w:val="6"/>
              </w:numPr>
              <w:spacing w:line="400" w:lineRule="exact"/>
              <w:ind w:firstLineChars="0"/>
              <w:rPr>
                <w:rFonts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负责产品培训规划，并根据规划进行培训全过程跟踪</w:t>
            </w:r>
          </w:p>
          <w:p>
            <w:pPr>
              <w:pStyle w:val="8"/>
              <w:numPr>
                <w:ilvl w:val="0"/>
                <w:numId w:val="6"/>
              </w:numPr>
              <w:spacing w:line="400" w:lineRule="exact"/>
              <w:ind w:firstLineChars="0"/>
              <w:rPr>
                <w:rFonts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负责培训课程交付，负责教材开发和对内对外的授课</w:t>
            </w:r>
          </w:p>
          <w:p>
            <w:pPr>
              <w:pStyle w:val="8"/>
              <w:numPr>
                <w:ilvl w:val="0"/>
                <w:numId w:val="6"/>
              </w:numPr>
              <w:spacing w:line="400" w:lineRule="exact"/>
              <w:ind w:firstLineChars="0"/>
              <w:rPr>
                <w:rFonts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负责培训项目运营，根据需求设计对应的培训项目，包括需求调研、项目设计、项目开发、项目执行、项目评估检核等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54" w:hRule="atLeast"/>
        </w:trPr>
        <w:tc>
          <w:tcPr>
            <w:tcW w:w="156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rPr>
                <w:rFonts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终端销售代表</w:t>
            </w:r>
          </w:p>
        </w:tc>
        <w:tc>
          <w:tcPr>
            <w:tcW w:w="678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pStyle w:val="8"/>
              <w:numPr>
                <w:ilvl w:val="0"/>
                <w:numId w:val="7"/>
              </w:numPr>
              <w:spacing w:line="400" w:lineRule="exact"/>
              <w:ind w:firstLineChars="0"/>
              <w:rPr>
                <w:rFonts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负责门店份额提升，进行资源整合、货源协同，提升店面销售</w:t>
            </w:r>
          </w:p>
          <w:p>
            <w:pPr>
              <w:pStyle w:val="8"/>
              <w:numPr>
                <w:ilvl w:val="0"/>
                <w:numId w:val="7"/>
              </w:numPr>
              <w:spacing w:line="400" w:lineRule="exact"/>
              <w:ind w:firstLineChars="0"/>
              <w:rPr>
                <w:rFonts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负责各区域全场景融合类产品销售渠道拓展及销售工作</w:t>
            </w:r>
          </w:p>
          <w:p>
            <w:pPr>
              <w:pStyle w:val="8"/>
              <w:numPr>
                <w:ilvl w:val="0"/>
                <w:numId w:val="7"/>
              </w:numPr>
              <w:spacing w:line="400" w:lineRule="exact"/>
              <w:ind w:firstLineChars="0"/>
              <w:rPr>
                <w:rFonts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积极拓展新业务，拓展增量市场，负责客户管理与销售目标达成</w:t>
            </w:r>
          </w:p>
          <w:p>
            <w:pPr>
              <w:pStyle w:val="8"/>
              <w:numPr>
                <w:ilvl w:val="0"/>
                <w:numId w:val="7"/>
              </w:numPr>
              <w:spacing w:line="400" w:lineRule="exact"/>
              <w:ind w:firstLineChars="0"/>
              <w:rPr>
                <w:rFonts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负责零售团队管理与培训赋能，企业文化传承，营造良好的组织气氛，落实人才培养机制，培养专业化队伍</w:t>
            </w:r>
          </w:p>
          <w:p>
            <w:pPr>
              <w:widowControl/>
              <w:rPr>
                <w:rFonts w:ascii="微软雅黑" w:hAnsi="微软雅黑" w:eastAsia="微软雅黑" w:cs="宋体"/>
                <w:sz w:val="16"/>
                <w:szCs w:val="16"/>
              </w:rPr>
            </w:pPr>
            <w:r>
              <w:rPr>
                <w:rFonts w:hint="eastAsia" w:ascii="微软雅黑" w:hAnsi="微软雅黑" w:eastAsia="微软雅黑" w:cs="宋体"/>
                <w:sz w:val="16"/>
                <w:szCs w:val="16"/>
              </w:rPr>
              <w:t>（本岗位含以下方向，根据方向不同，岗位职责略有差别：</w:t>
            </w:r>
          </w:p>
          <w:p>
            <w:pPr>
              <w:pStyle w:val="8"/>
              <w:spacing w:line="400" w:lineRule="exact"/>
              <w:ind w:left="420" w:firstLine="0" w:firstLineChars="0"/>
              <w:rPr>
                <w:rFonts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 w:cs="宋体"/>
                <w:sz w:val="16"/>
                <w:szCs w:val="16"/>
              </w:rPr>
              <w:t>产业销售代表、大客户销售代表、渠道销售代表、区域销售代表、政企销售代表、零售门店管理代表等）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7" w:hRule="atLeast"/>
        </w:trPr>
        <w:tc>
          <w:tcPr>
            <w:tcW w:w="156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rPr>
                <w:rFonts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工作地</w:t>
            </w:r>
          </w:p>
        </w:tc>
        <w:tc>
          <w:tcPr>
            <w:tcW w:w="678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spacing w:line="480" w:lineRule="exact"/>
              <w:rPr>
                <w:rFonts w:ascii="微软雅黑" w:hAnsi="微软雅黑" w:eastAsia="微软雅黑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广东省各地市（</w:t>
            </w:r>
            <w:r>
              <w:rPr>
                <w:rFonts w:ascii="微软雅黑" w:hAnsi="微软雅黑" w:eastAsia="微软雅黑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服务体验/技术顾问工作地为广州/佛山/东莞）</w:t>
            </w:r>
          </w:p>
        </w:tc>
      </w:tr>
    </w:tbl>
    <w:p>
      <w:pPr>
        <w:spacing w:line="360" w:lineRule="auto"/>
        <w:rPr>
          <w:rFonts w:ascii="宋体" w:hAnsi="宋体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pStyle w:val="8"/>
        <w:numPr>
          <w:ilvl w:val="0"/>
          <w:numId w:val="2"/>
        </w:numPr>
        <w:spacing w:line="0" w:lineRule="atLeast"/>
        <w:ind w:firstLineChars="0"/>
        <w:rPr>
          <w:rFonts w:ascii="微软雅黑" w:hAnsi="微软雅黑" w:eastAsia="微软雅黑"/>
          <w:b/>
          <w:color w:val="C00000"/>
          <w:sz w:val="24"/>
          <w:szCs w:val="20"/>
        </w:rPr>
      </w:pPr>
      <w:r>
        <w:rPr>
          <w:rFonts w:ascii="微软雅黑" w:hAnsi="微软雅黑" w:eastAsia="微软雅黑"/>
          <w:b/>
          <w:color w:val="C00000"/>
          <w:sz w:val="24"/>
          <w:szCs w:val="20"/>
        </w:rPr>
        <w:t>我们一直在寻找这样的你</w:t>
      </w:r>
    </w:p>
    <w:p>
      <w:pPr>
        <w:pStyle w:val="8"/>
        <w:spacing w:line="400" w:lineRule="exact"/>
        <w:ind w:left="420" w:firstLine="0" w:firstLineChars="0"/>
        <w:rPr>
          <w:rFonts w:ascii="微软雅黑" w:hAnsi="微软雅黑" w:eastAsia="微软雅黑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/>
          <w:color w:val="000000" w:themeColor="text1"/>
          <w:szCs w:val="21"/>
          <w14:textFill>
            <w14:solidFill>
              <w14:schemeClr w14:val="tx1"/>
            </w14:solidFill>
          </w14:textFill>
        </w:rPr>
        <w:t>1、优秀的客户服务意识，热爱消费电子行业</w:t>
      </w:r>
      <w:r>
        <w:rPr>
          <w:rFonts w:hint="eastAsia" w:ascii="微软雅黑" w:hAnsi="微软雅黑" w:eastAsia="微软雅黑"/>
          <w:color w:val="000000" w:themeColor="text1"/>
          <w:szCs w:val="21"/>
          <w14:textFill>
            <w14:solidFill>
              <w14:schemeClr w14:val="tx1"/>
            </w14:solidFill>
          </w14:textFill>
        </w:rPr>
        <w:cr/>
      </w:r>
      <w:r>
        <w:rPr>
          <w:rFonts w:ascii="微软雅黑" w:hAnsi="微软雅黑" w:eastAsia="微软雅黑"/>
          <w:color w:val="000000" w:themeColor="text1"/>
          <w:szCs w:val="21"/>
          <w14:textFill>
            <w14:solidFill>
              <w14:schemeClr w14:val="tx1"/>
            </w14:solidFill>
          </w14:textFill>
        </w:rPr>
        <w:t>2、</w:t>
      </w:r>
      <w:r>
        <w:rPr>
          <w:rFonts w:hint="eastAsia" w:ascii="微软雅黑" w:hAnsi="微软雅黑" w:eastAsia="微软雅黑"/>
          <w:color w:val="000000" w:themeColor="text1"/>
          <w:szCs w:val="21"/>
          <w14:textFill>
            <w14:solidFill>
              <w14:schemeClr w14:val="tx1"/>
            </w14:solidFill>
          </w14:textFill>
        </w:rPr>
        <w:t>良好的团队合作精神，学习和沟通能力强</w:t>
      </w:r>
      <w:r>
        <w:rPr>
          <w:rFonts w:hint="eastAsia" w:ascii="微软雅黑" w:hAnsi="微软雅黑" w:eastAsia="微软雅黑"/>
          <w:color w:val="000000" w:themeColor="text1"/>
          <w:szCs w:val="21"/>
          <w14:textFill>
            <w14:solidFill>
              <w14:schemeClr w14:val="tx1"/>
            </w14:solidFill>
          </w14:textFill>
        </w:rPr>
        <w:cr/>
      </w:r>
      <w:r>
        <w:rPr>
          <w:rFonts w:ascii="微软雅黑" w:hAnsi="微软雅黑" w:eastAsia="微软雅黑"/>
          <w:color w:val="000000" w:themeColor="text1"/>
          <w:szCs w:val="21"/>
          <w14:textFill>
            <w14:solidFill>
              <w14:schemeClr w14:val="tx1"/>
            </w14:solidFill>
          </w14:textFill>
        </w:rPr>
        <w:t>3、</w:t>
      </w:r>
      <w:r>
        <w:rPr>
          <w:rFonts w:hint="eastAsia" w:ascii="微软雅黑" w:hAnsi="微软雅黑" w:eastAsia="微软雅黑"/>
          <w:color w:val="000000" w:themeColor="text1"/>
          <w:szCs w:val="21"/>
          <w14:textFill>
            <w14:solidFill>
              <w14:schemeClr w14:val="tx1"/>
            </w14:solidFill>
          </w14:textFill>
        </w:rPr>
        <w:t>具备活动策划和数据分析能力优先</w:t>
      </w:r>
      <w:r>
        <w:rPr>
          <w:rFonts w:hint="eastAsia" w:ascii="微软雅黑" w:hAnsi="微软雅黑" w:eastAsia="微软雅黑"/>
          <w:color w:val="000000" w:themeColor="text1"/>
          <w:szCs w:val="21"/>
          <w14:textFill>
            <w14:solidFill>
              <w14:schemeClr w14:val="tx1"/>
            </w14:solidFill>
          </w14:textFill>
        </w:rPr>
        <w:cr/>
      </w:r>
      <w:r>
        <w:rPr>
          <w:rFonts w:ascii="微软雅黑" w:hAnsi="微软雅黑" w:eastAsia="微软雅黑"/>
          <w:color w:val="000000" w:themeColor="text1"/>
          <w:szCs w:val="21"/>
          <w14:textFill>
            <w14:solidFill>
              <w14:schemeClr w14:val="tx1"/>
            </w14:solidFill>
          </w14:textFill>
        </w:rPr>
        <w:t>4、</w:t>
      </w:r>
      <w:r>
        <w:rPr>
          <w:rFonts w:hint="eastAsia" w:ascii="微软雅黑" w:hAnsi="微软雅黑" w:eastAsia="微软雅黑"/>
          <w:color w:val="000000" w:themeColor="text1"/>
          <w:szCs w:val="21"/>
          <w14:textFill>
            <w14:solidFill>
              <w14:schemeClr w14:val="tx1"/>
            </w14:solidFill>
          </w14:textFill>
        </w:rPr>
        <w:t>本科及以上学历</w:t>
      </w:r>
    </w:p>
    <w:p>
      <w:pPr>
        <w:spacing w:line="480" w:lineRule="exact"/>
        <w:rPr>
          <w:rFonts w:ascii="宋体" w:hAnsi="宋体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>
      <w:pPr>
        <w:pStyle w:val="8"/>
        <w:numPr>
          <w:ilvl w:val="0"/>
          <w:numId w:val="2"/>
        </w:numPr>
        <w:ind w:firstLineChars="0"/>
        <w:rPr>
          <w:rFonts w:ascii="微软雅黑" w:hAnsi="微软雅黑" w:eastAsia="微软雅黑"/>
          <w:b/>
          <w:color w:val="C00000"/>
          <w:sz w:val="24"/>
          <w:szCs w:val="20"/>
        </w:rPr>
      </w:pPr>
      <w:r>
        <w:rPr>
          <w:rFonts w:ascii="微软雅黑" w:hAnsi="微软雅黑" w:eastAsia="微软雅黑"/>
          <w:b/>
          <w:color w:val="C00000"/>
          <w:sz w:val="24"/>
          <w:szCs w:val="20"/>
        </w:rPr>
        <w:t>加入我们</w:t>
      </w:r>
      <w:r>
        <w:rPr>
          <w:rFonts w:hint="eastAsia" w:ascii="微软雅黑" w:hAnsi="微软雅黑" w:eastAsia="微软雅黑"/>
          <w:b/>
          <w:color w:val="C00000"/>
          <w:sz w:val="24"/>
          <w:szCs w:val="20"/>
        </w:rPr>
        <w:t>，</w:t>
      </w:r>
      <w:r>
        <w:rPr>
          <w:rFonts w:ascii="微软雅黑" w:hAnsi="微软雅黑" w:eastAsia="微软雅黑"/>
          <w:b/>
          <w:color w:val="C00000"/>
          <w:sz w:val="24"/>
          <w:szCs w:val="20"/>
        </w:rPr>
        <w:t>开启你的梦想之旅</w:t>
      </w:r>
    </w:p>
    <w:p>
      <w:pPr>
        <w:spacing w:line="480" w:lineRule="exact"/>
        <w:ind w:left="840"/>
        <w:jc w:val="center"/>
        <w:rPr>
          <w:rFonts w:ascii="微软雅黑" w:hAnsi="微软雅黑" w:eastAsia="微软雅黑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/>
          <w:color w:val="000000" w:themeColor="text1"/>
          <w:szCs w:val="21"/>
          <w14:textFill>
            <w14:solidFill>
              <w14:schemeClr w14:val="tx1"/>
            </w14:solidFill>
          </w14:textFill>
        </w:rPr>
        <w:t>扫码关注公众号投递/邮箱投递</w:t>
      </w:r>
    </w:p>
    <w:p>
      <w:pPr>
        <w:spacing w:line="480" w:lineRule="exact"/>
        <w:ind w:left="840"/>
        <w:jc w:val="center"/>
        <w:rPr>
          <w:rFonts w:ascii="微软雅黑" w:hAnsi="微软雅黑" w:eastAsia="微软雅黑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/>
          <w:color w:val="000000" w:themeColor="text1"/>
          <w:szCs w:val="21"/>
          <w14:textFill>
            <w14:solidFill>
              <w14:schemeClr w14:val="tx1"/>
            </w14:solidFill>
          </w14:textFill>
        </w:rPr>
        <w:t>邮件标题：工作地+应聘岗位名称+姓名+联系方式</w:t>
      </w:r>
    </w:p>
    <w:p>
      <w:pPr>
        <w:spacing w:line="480" w:lineRule="exact"/>
        <w:ind w:left="840"/>
        <w:jc w:val="center"/>
        <w:rPr>
          <w:rFonts w:ascii="微软雅黑" w:hAnsi="微软雅黑" w:eastAsia="微软雅黑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/>
          <w:color w:val="000000" w:themeColor="text1"/>
          <w:szCs w:val="21"/>
          <w14:textFill>
            <w14:solidFill>
              <w14:schemeClr w14:val="tx1"/>
            </w14:solidFill>
          </w14:textFill>
        </w:rPr>
        <w:t>简历投递：</w:t>
      </w:r>
      <w:r>
        <w:rPr>
          <w:rFonts w:hint="eastAsia" w:ascii="微软雅黑" w:hAnsi="微软雅黑" w:eastAsia="微软雅黑"/>
          <w:szCs w:val="21"/>
        </w:rPr>
        <w:t>gdzp@huawei.com</w:t>
      </w:r>
    </w:p>
    <w:p>
      <w:pPr>
        <w:spacing w:line="480" w:lineRule="exact"/>
        <w:ind w:left="420"/>
        <w:jc w:val="center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2438400</wp:posOffset>
            </wp:positionH>
            <wp:positionV relativeFrom="paragraph">
              <wp:posOffset>66040</wp:posOffset>
            </wp:positionV>
            <wp:extent cx="900430" cy="900430"/>
            <wp:effectExtent l="0" t="0" r="0" b="0"/>
            <wp:wrapNone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0332" cy="9003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480" w:lineRule="exact"/>
        <w:ind w:left="420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>
      <w:pPr>
        <w:spacing w:line="480" w:lineRule="exact"/>
        <w:ind w:left="420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>
      <w:pPr>
        <w:spacing w:line="480" w:lineRule="exact"/>
        <w:ind w:left="420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>
      <w:pPr>
        <w:spacing w:line="480" w:lineRule="exact"/>
        <w:ind w:left="420"/>
        <w:jc w:val="center"/>
        <w:rPr>
          <w:rFonts w:ascii="微软雅黑" w:hAnsi="微软雅黑" w:eastAsia="微软雅黑"/>
          <w:b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/>
  </w:endnote>
  <w:endnote w:type="continuationSeparator" w:id="1">
    <w:p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/>
  </w:footnote>
  <w:footnote w:type="continuationSeparator" w:id="1">
    <w:p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numPicBullet w:numPicBulletId="0">
    <w:pict>
      <v:shape id="0" type="#_x0000_t75" style="width:15px;height:15px" o:bullet="t">
        <v:imagedata r:id="rId1" o:title=""/>
      </v:shape>
    </w:pict>
  </w:numPicBullet>
  <w:abstractNum w:abstractNumId="0">
    <w:nsid w:val="0EF21037"/>
    <w:multiLevelType w:val="multilevel"/>
    <w:tmpl w:val="0EF21037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1">
    <w:nsid w:val="14746DA4"/>
    <w:multiLevelType w:val="multilevel"/>
    <w:tmpl w:val="14746DA4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2">
    <w:nsid w:val="39E704A4"/>
    <w:multiLevelType w:val="multilevel"/>
    <w:tmpl w:val="39E704A4"/>
    <w:lvl w:ilvl="0" w:tentative="0">
      <w:start w:val="1"/>
      <w:numFmt w:val="bullet"/>
      <w:lvlText w:val=""/>
      <w:lvlPicBulletId w:val="0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3">
    <w:nsid w:val="42FE570A"/>
    <w:multiLevelType w:val="multilevel"/>
    <w:tmpl w:val="42FE570A"/>
    <w:lvl w:ilvl="0" w:tentative="0">
      <w:start w:val="1"/>
      <w:numFmt w:val="decimal"/>
      <w:suff w:val="nothing"/>
      <w:lvlText w:val="%1  "/>
      <w:lvlJc w:val="left"/>
      <w:pPr>
        <w:ind w:left="0" w:firstLine="0"/>
      </w:pPr>
      <w:rPr>
        <w:rFonts w:hint="default" w:ascii="Arial" w:hAnsi="Arial" w:eastAsia="黑体"/>
        <w:b w:val="0"/>
        <w:i w:val="0"/>
        <w:sz w:val="36"/>
        <w:szCs w:val="36"/>
      </w:rPr>
    </w:lvl>
    <w:lvl w:ilvl="1" w:tentative="0">
      <w:start w:val="1"/>
      <w:numFmt w:val="decimal"/>
      <w:suff w:val="nothing"/>
      <w:lvlText w:val="%1.%2  "/>
      <w:lvlJc w:val="left"/>
      <w:pPr>
        <w:ind w:left="0" w:firstLine="0"/>
      </w:pPr>
      <w:rPr>
        <w:rFonts w:hint="default" w:ascii="Arial" w:hAnsi="Arial"/>
        <w:b w:val="0"/>
        <w:i w:val="0"/>
        <w:sz w:val="30"/>
        <w:szCs w:val="30"/>
      </w:rPr>
    </w:lvl>
    <w:lvl w:ilvl="2" w:tentative="0">
      <w:start w:val="1"/>
      <w:numFmt w:val="decimal"/>
      <w:suff w:val="nothing"/>
      <w:lvlText w:val="%1.%2.%3  "/>
      <w:lvlJc w:val="left"/>
      <w:pPr>
        <w:ind w:left="0" w:firstLine="0"/>
      </w:pPr>
      <w:rPr>
        <w:rFonts w:hint="default" w:ascii="Arial" w:hAnsi="Arial"/>
        <w:b w:val="0"/>
        <w:i w:val="0"/>
        <w:sz w:val="24"/>
        <w:szCs w:val="24"/>
      </w:rPr>
    </w:lvl>
    <w:lvl w:ilvl="3" w:tentative="0">
      <w:start w:val="1"/>
      <w:numFmt w:val="decimal"/>
      <w:suff w:val="nothing"/>
      <w:lvlText w:val="%1.%2.%3.%4  "/>
      <w:lvlJc w:val="left"/>
      <w:pPr>
        <w:ind w:left="0" w:firstLine="0"/>
      </w:pPr>
      <w:rPr>
        <w:rFonts w:hint="default" w:ascii="Arial" w:hAnsi="Arial"/>
        <w:b w:val="0"/>
        <w:i w:val="0"/>
        <w:sz w:val="21"/>
        <w:szCs w:val="21"/>
      </w:rPr>
    </w:lvl>
    <w:lvl w:ilvl="4" w:tentative="0">
      <w:start w:val="1"/>
      <w:numFmt w:val="decimal"/>
      <w:lvlText w:val="%5."/>
      <w:lvlJc w:val="left"/>
      <w:pPr>
        <w:tabs>
          <w:tab w:val="left" w:pos="1134"/>
        </w:tabs>
        <w:ind w:left="1134" w:hanging="312"/>
      </w:pPr>
      <w:rPr>
        <w:rFonts w:hint="default" w:ascii="Arial" w:hAnsi="Arial"/>
        <w:b w:val="0"/>
        <w:i w:val="0"/>
        <w:sz w:val="21"/>
        <w:szCs w:val="21"/>
      </w:rPr>
    </w:lvl>
    <w:lvl w:ilvl="5" w:tentative="0">
      <w:start w:val="1"/>
      <w:numFmt w:val="decimal"/>
      <w:lvlText w:val="%6)"/>
      <w:lvlJc w:val="left"/>
      <w:pPr>
        <w:tabs>
          <w:tab w:val="left" w:pos="1134"/>
        </w:tabs>
        <w:ind w:left="1134" w:hanging="312"/>
      </w:pPr>
      <w:rPr>
        <w:rFonts w:hint="default" w:ascii="Arial" w:hAnsi="Arial"/>
        <w:b w:val="0"/>
        <w:i w:val="0"/>
        <w:sz w:val="21"/>
        <w:szCs w:val="21"/>
      </w:rPr>
    </w:lvl>
    <w:lvl w:ilvl="6" w:tentative="0">
      <w:start w:val="1"/>
      <w:numFmt w:val="lowerLetter"/>
      <w:lvlText w:val="%7."/>
      <w:lvlJc w:val="left"/>
      <w:pPr>
        <w:tabs>
          <w:tab w:val="left" w:pos="1134"/>
        </w:tabs>
        <w:ind w:left="1134" w:hanging="312"/>
      </w:pPr>
      <w:rPr>
        <w:rFonts w:hint="default" w:ascii="Arial" w:hAnsi="Arial"/>
        <w:b w:val="0"/>
        <w:i w:val="0"/>
        <w:sz w:val="21"/>
        <w:szCs w:val="21"/>
      </w:rPr>
    </w:lvl>
    <w:lvl w:ilvl="7" w:tentative="0">
      <w:start w:val="1"/>
      <w:numFmt w:val="decimal"/>
      <w:lvlRestart w:val="0"/>
      <w:pStyle w:val="12"/>
      <w:suff w:val="space"/>
      <w:lvlText w:val="图%8"/>
      <w:lvlJc w:val="center"/>
      <w:pPr>
        <w:ind w:left="0" w:firstLine="0"/>
      </w:pPr>
      <w:rPr>
        <w:rFonts w:hint="default" w:ascii="Arial" w:hAnsi="Arial" w:eastAsia="黑体"/>
        <w:b w:val="0"/>
        <w:i w:val="0"/>
        <w:sz w:val="18"/>
        <w:szCs w:val="18"/>
      </w:rPr>
    </w:lvl>
    <w:lvl w:ilvl="8" w:tentative="0">
      <w:start w:val="1"/>
      <w:numFmt w:val="decimal"/>
      <w:lvlRestart w:val="0"/>
      <w:pStyle w:val="11"/>
      <w:suff w:val="space"/>
      <w:lvlText w:val="表%9"/>
      <w:lvlJc w:val="center"/>
      <w:pPr>
        <w:ind w:left="0" w:firstLine="0"/>
      </w:pPr>
      <w:rPr>
        <w:rFonts w:hint="default" w:ascii="Arial" w:hAnsi="Arial" w:eastAsia="黑体"/>
        <w:b w:val="0"/>
        <w:i w:val="0"/>
        <w:sz w:val="18"/>
        <w:szCs w:val="18"/>
      </w:rPr>
    </w:lvl>
  </w:abstractNum>
  <w:abstractNum w:abstractNumId="4">
    <w:nsid w:val="69BA44D4"/>
    <w:multiLevelType w:val="multilevel"/>
    <w:tmpl w:val="69BA44D4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5">
    <w:nsid w:val="6BA601BB"/>
    <w:multiLevelType w:val="multilevel"/>
    <w:tmpl w:val="6BA601BB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6">
    <w:nsid w:val="733872F3"/>
    <w:multiLevelType w:val="multilevel"/>
    <w:tmpl w:val="733872F3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0"/>
  </w:num>
  <w:num w:numId="4">
    <w:abstractNumId w:val="6"/>
  </w:num>
  <w:num w:numId="5">
    <w:abstractNumId w:val="1"/>
  </w:num>
  <w:num w:numId="6">
    <w:abstractNumId w:val="4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2A3D"/>
    <w:rsid w:val="000160BB"/>
    <w:rsid w:val="00021379"/>
    <w:rsid w:val="00050ACC"/>
    <w:rsid w:val="000E2556"/>
    <w:rsid w:val="0011006F"/>
    <w:rsid w:val="00121348"/>
    <w:rsid w:val="0012501F"/>
    <w:rsid w:val="00126660"/>
    <w:rsid w:val="0015167C"/>
    <w:rsid w:val="00153732"/>
    <w:rsid w:val="00173713"/>
    <w:rsid w:val="00177272"/>
    <w:rsid w:val="001C61F4"/>
    <w:rsid w:val="001E6820"/>
    <w:rsid w:val="00203A05"/>
    <w:rsid w:val="00224E99"/>
    <w:rsid w:val="00242707"/>
    <w:rsid w:val="00295BB3"/>
    <w:rsid w:val="002A7AC3"/>
    <w:rsid w:val="002B5896"/>
    <w:rsid w:val="003414C7"/>
    <w:rsid w:val="0034688A"/>
    <w:rsid w:val="00346DB3"/>
    <w:rsid w:val="00353C2C"/>
    <w:rsid w:val="003632C0"/>
    <w:rsid w:val="00380E6C"/>
    <w:rsid w:val="003D64C1"/>
    <w:rsid w:val="004051D9"/>
    <w:rsid w:val="00410D50"/>
    <w:rsid w:val="00433552"/>
    <w:rsid w:val="00440A4C"/>
    <w:rsid w:val="00460C75"/>
    <w:rsid w:val="0049751C"/>
    <w:rsid w:val="004B2B1E"/>
    <w:rsid w:val="004B4758"/>
    <w:rsid w:val="0056046C"/>
    <w:rsid w:val="00565B75"/>
    <w:rsid w:val="00586E2D"/>
    <w:rsid w:val="005A04E6"/>
    <w:rsid w:val="005B5631"/>
    <w:rsid w:val="005E2424"/>
    <w:rsid w:val="005E5412"/>
    <w:rsid w:val="005F555C"/>
    <w:rsid w:val="006524C6"/>
    <w:rsid w:val="00694D33"/>
    <w:rsid w:val="006A0969"/>
    <w:rsid w:val="006B71F6"/>
    <w:rsid w:val="006D4829"/>
    <w:rsid w:val="006E1AFE"/>
    <w:rsid w:val="00726638"/>
    <w:rsid w:val="00733A73"/>
    <w:rsid w:val="00736941"/>
    <w:rsid w:val="00755A2C"/>
    <w:rsid w:val="007A4442"/>
    <w:rsid w:val="007E73BA"/>
    <w:rsid w:val="00802F38"/>
    <w:rsid w:val="00856178"/>
    <w:rsid w:val="008B5816"/>
    <w:rsid w:val="008C5E38"/>
    <w:rsid w:val="008D4D5A"/>
    <w:rsid w:val="008F539D"/>
    <w:rsid w:val="00911CB3"/>
    <w:rsid w:val="009A3B22"/>
    <w:rsid w:val="00A04B24"/>
    <w:rsid w:val="00A95CA3"/>
    <w:rsid w:val="00B2478C"/>
    <w:rsid w:val="00B36DA3"/>
    <w:rsid w:val="00BE7E65"/>
    <w:rsid w:val="00C018D2"/>
    <w:rsid w:val="00C3063A"/>
    <w:rsid w:val="00C415C5"/>
    <w:rsid w:val="00C5345C"/>
    <w:rsid w:val="00C86368"/>
    <w:rsid w:val="00D138E0"/>
    <w:rsid w:val="00DE12C3"/>
    <w:rsid w:val="00E06F06"/>
    <w:rsid w:val="00E62444"/>
    <w:rsid w:val="00ED0351"/>
    <w:rsid w:val="00ED6088"/>
    <w:rsid w:val="00EF63B9"/>
    <w:rsid w:val="00F22FE3"/>
    <w:rsid w:val="00F24069"/>
    <w:rsid w:val="00F42A3D"/>
    <w:rsid w:val="00F542B0"/>
    <w:rsid w:val="00F6156A"/>
    <w:rsid w:val="00F63BCE"/>
    <w:rsid w:val="00FD6706"/>
    <w:rsid w:val="703E18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7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7"/>
    <w:pPr>
      <w:widowControl w:val="0"/>
      <w:jc w:val="both"/>
    </w:pPr>
    <w:rPr>
      <w:rFonts w:ascii="Times New Roman" w:hAnsi="Times New Roman" w:eastAsia="宋体" w:cs="Times New Roman"/>
      <w:color w:val="000000"/>
      <w:kern w:val="0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color w:val="auto"/>
      <w:sz w:val="24"/>
    </w:rPr>
  </w:style>
  <w:style w:type="character" w:styleId="7">
    <w:name w:val="Hyperlink"/>
    <w:basedOn w:val="6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styleId="8">
    <w:name w:val="List Paragraph"/>
    <w:basedOn w:val="1"/>
    <w:qFormat/>
    <w:uiPriority w:val="34"/>
    <w:pPr>
      <w:ind w:firstLine="420" w:firstLineChars="200"/>
    </w:pPr>
  </w:style>
  <w:style w:type="character" w:customStyle="1" w:styleId="9">
    <w:name w:val="页眉 Char"/>
    <w:basedOn w:val="6"/>
    <w:link w:val="3"/>
    <w:qFormat/>
    <w:uiPriority w:val="99"/>
    <w:rPr>
      <w:rFonts w:ascii="Times New Roman" w:hAnsi="Times New Roman" w:eastAsia="宋体" w:cs="Times New Roman"/>
      <w:color w:val="000000"/>
      <w:kern w:val="0"/>
      <w:sz w:val="18"/>
      <w:szCs w:val="18"/>
    </w:rPr>
  </w:style>
  <w:style w:type="character" w:customStyle="1" w:styleId="10">
    <w:name w:val="页脚 Char"/>
    <w:basedOn w:val="6"/>
    <w:link w:val="2"/>
    <w:qFormat/>
    <w:uiPriority w:val="99"/>
    <w:rPr>
      <w:rFonts w:ascii="Times New Roman" w:hAnsi="Times New Roman" w:eastAsia="宋体" w:cs="Times New Roman"/>
      <w:color w:val="000000"/>
      <w:kern w:val="0"/>
      <w:sz w:val="18"/>
      <w:szCs w:val="18"/>
    </w:rPr>
  </w:style>
  <w:style w:type="paragraph" w:customStyle="1" w:styleId="11">
    <w:name w:val="表格题注"/>
    <w:next w:val="1"/>
    <w:qFormat/>
    <w:uiPriority w:val="0"/>
    <w:pPr>
      <w:keepLines/>
      <w:numPr>
        <w:ilvl w:val="8"/>
        <w:numId w:val="1"/>
      </w:numPr>
      <w:spacing w:beforeLines="100"/>
      <w:ind w:left="1089" w:hanging="369"/>
      <w:jc w:val="center"/>
    </w:pPr>
    <w:rPr>
      <w:rFonts w:ascii="Arial" w:hAnsi="Arial" w:eastAsia="宋体" w:cs="Times New Roman"/>
      <w:kern w:val="0"/>
      <w:sz w:val="18"/>
      <w:szCs w:val="18"/>
      <w:lang w:val="en-US" w:eastAsia="zh-CN" w:bidi="ar-SA"/>
    </w:rPr>
  </w:style>
  <w:style w:type="paragraph" w:customStyle="1" w:styleId="12">
    <w:name w:val="插图题注"/>
    <w:next w:val="1"/>
    <w:qFormat/>
    <w:uiPriority w:val="0"/>
    <w:pPr>
      <w:numPr>
        <w:ilvl w:val="7"/>
        <w:numId w:val="1"/>
      </w:numPr>
      <w:spacing w:afterLines="100"/>
      <w:ind w:left="1089" w:hanging="369"/>
      <w:jc w:val="center"/>
    </w:pPr>
    <w:rPr>
      <w:rFonts w:ascii="Arial" w:hAnsi="Arial" w:eastAsia="宋体" w:cs="Times New Roman"/>
      <w:kern w:val="0"/>
      <w:sz w:val="18"/>
      <w:szCs w:val="18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diagramData" Target="diagrams/data1.xml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5.jpeg"/><Relationship Id="rId14" Type="http://schemas.openxmlformats.org/officeDocument/2006/relationships/image" Target="media/image4.png"/><Relationship Id="rId13" Type="http://schemas.microsoft.com/office/2007/relationships/diagramDrawing" Target="diagrams/drawing1.xml"/><Relationship Id="rId12" Type="http://schemas.openxmlformats.org/officeDocument/2006/relationships/diagramColors" Target="diagrams/colors1.xml"/><Relationship Id="rId11" Type="http://schemas.openxmlformats.org/officeDocument/2006/relationships/diagramQuickStyle" Target="diagrams/quickStyle1.xml"/><Relationship Id="rId10" Type="http://schemas.openxmlformats.org/officeDocument/2006/relationships/diagramLayout" Target="diagrams/layout1.xml"/><Relationship Id="rId1" Type="http://schemas.openxmlformats.org/officeDocument/2006/relationships/styles" Target="style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2_5">
  <dgm:title val=""/>
  <dgm:desc val=""/>
  <dgm:catLst>
    <dgm:cat type="accent2" pri="11500"/>
  </dgm:catLst>
  <dgm:styleLbl name="alignAcc1">
    <dgm:fillClrLst meth="repeat">
      <a:schemeClr val="lt1">
        <a:alpha val="90000"/>
      </a:schemeClr>
    </dgm:fillClrLst>
    <dgm:linClrLst>
      <a:schemeClr val="accent2">
        <a:alpha val="90000"/>
      </a:schemeClr>
      <a:schemeClr val="accent2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ImgPlace1">
    <dgm:fillClrLst>
      <a:schemeClr val="accent2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Node1">
    <dgm:fillClrLst>
      <a:schemeClr val="accent2">
        <a:alpha val="90000"/>
      </a:schemeClr>
      <a:schemeClr val="accent2">
        <a:alpha val="50000"/>
      </a:schemeClr>
    </dgm:fillClrLst>
    <dgm:linClrLst>
      <a:schemeClr val="accent2">
        <a:alpha val="90000"/>
      </a:schemeClr>
      <a:schemeClr val="accent2">
        <a:alpha val="50000"/>
      </a:schemeClr>
    </dgm:linClrLst>
    <dgm:effectClrLst/>
    <dgm:txLinClrLst/>
    <dgm:txFillClrLst/>
    <dgm:txEffectClrLst/>
  </dgm:styleLbl>
  <dgm:styleLbl name="asst0">
    <dgm:fillClrLst meth="repeat">
      <a:schemeClr val="accent2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2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bgAcc1">
    <dgm:fillClrLst meth="repeat">
      <a:schemeClr val="lt1">
        <a:alpha val="90000"/>
      </a:schemeClr>
    </dgm:fillClrLst>
    <dgm:linClrLst>
      <a:schemeClr val="accent2">
        <a:alpha val="90000"/>
      </a:schemeClr>
      <a:schemeClr val="accent2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bgImgPlace1">
    <dgm:fillClrLst>
      <a:schemeClr val="accent2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ibTrans2D1">
    <dgm:fillClrLst>
      <a:schemeClr val="accent2">
        <a:shade val="90000"/>
      </a:schemeClr>
      <a:schemeClr val="accent2">
        <a:tint val="50000"/>
      </a:schemeClr>
    </dgm:fillClrLst>
    <dgm:linClrLst>
      <a:schemeClr val="accent2">
        <a:shade val="90000"/>
      </a:schemeClr>
      <a:schemeClr val="accent2">
        <a:tint val="50000"/>
      </a:schemeClr>
    </dgm:linClrLst>
    <dgm:effectClrLst/>
    <dgm:txLinClrLst/>
    <dgm:txFillClrLst/>
    <dgm:txEffectClrLst/>
  </dgm:styleLbl>
  <dgm:styleLbl name="callout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2">
        <a:alpha val="90000"/>
      </a:schemeClr>
      <a:schemeClr val="accent2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2">
        <a:alpha val="90000"/>
      </a:schemeClr>
      <a:schemeClr val="accent2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2">
        <a:alpha val="90000"/>
        <a:tint val="40000"/>
      </a:schemeClr>
      <a:schemeClr val="accent2">
        <a:alpha val="5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>
      <a:schemeClr val="accent2">
        <a:tint val="50000"/>
        <a:alpha val="90000"/>
      </a:schemeClr>
      <a:schemeClr val="accent2">
        <a:tint val="20000"/>
        <a:alpha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SibTrans2D1">
    <dgm:fillClrLst>
      <a:schemeClr val="accent2">
        <a:shade val="90000"/>
      </a:schemeClr>
      <a:schemeClr val="accent2">
        <a:tint val="50000"/>
      </a:schemeClr>
    </dgm:fillClrLst>
    <dgm:linClrLst>
      <a:schemeClr val="accent2">
        <a:shade val="90000"/>
      </a:schemeClr>
      <a:schemeClr val="accent2">
        <a:tint val="50000"/>
      </a:schemeClr>
    </dgm:linClrLst>
    <dgm:effectClrLst/>
    <dgm:txLinClrLst/>
    <dgm:txFillClrLst/>
    <dgm:txEffectClrLst/>
  </dgm:styleLbl>
  <dgm:styleLbl name="lnNode1">
    <dgm:fillClrLst>
      <a:schemeClr val="accent2">
        <a:shade val="90000"/>
      </a:schemeClr>
      <a:schemeClr val="accent2">
        <a:alpha val="50000"/>
        <a:tint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0">
    <dgm:fillClrLst meth="cycle">
      <a:schemeClr val="accent2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2">
        <a:alpha val="90000"/>
      </a:schemeClr>
      <a:schemeClr val="accent2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2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>
        <a:alpha val="3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1D1">
    <dgm:fillClrLst meth="repeat">
      <a:schemeClr val="accent2">
        <a:shade val="8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2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2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50000"/>
      </a:schemeClr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parChTrans2D1">
    <dgm:fillClrLst meth="repeat">
      <a:schemeClr val="accent2">
        <a:shade val="80000"/>
      </a:schemeClr>
    </dgm:fillClrLst>
    <dgm:linClrLst meth="repeat">
      <a:schemeClr val="accent2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2">
        <a:tint val="90000"/>
      </a:schemeClr>
    </dgm:fillClrLst>
    <dgm:linClrLst meth="repeat">
      <a:schemeClr val="accent2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2">
        <a:tint val="70000"/>
      </a:schemeClr>
    </dgm:fillClrLst>
    <dgm:linClrLst meth="repeat">
      <a:schemeClr val="accent2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2">
        <a:tint val="50000"/>
      </a:schemeClr>
    </dgm:fillClrLst>
    <dgm:linClrLst meth="repeat">
      <a:schemeClr val="accent2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  <dgm:styleLbl name="sibTrans1D1">
    <dgm:fillClrLst>
      <a:schemeClr val="accent2">
        <a:shade val="90000"/>
      </a:schemeClr>
      <a:schemeClr val="accent2">
        <a:tint val="50000"/>
      </a:schemeClr>
    </dgm:fillClrLst>
    <dgm:linClrLst>
      <a:schemeClr val="accent2">
        <a:shade val="90000"/>
      </a:schemeClr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sibTrans2D1">
    <dgm:fillClrLst>
      <a:schemeClr val="accent2">
        <a:shade val="90000"/>
      </a:schemeClr>
      <a:schemeClr val="accent2">
        <a:tint val="50000"/>
      </a:schemeClr>
    </dgm:fillClrLst>
    <dgm:linClrLst>
      <a:schemeClr val="accent2">
        <a:shade val="90000"/>
      </a:schemeClr>
      <a:schemeClr val="accent2">
        <a:tint val="50000"/>
      </a:schemeClr>
    </dgm:linClrLst>
    <dgm:effectClrLst/>
    <dgm:txLinClrLst/>
    <dgm:txFillClrLst/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2">
        <a:alpha val="90000"/>
      </a:schemeClr>
      <a:schemeClr val="accent2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>
      <a:schemeClr val="accent2">
        <a:alpha val="90000"/>
      </a:schemeClr>
      <a:schemeClr val="accent2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vennNode1">
    <dgm:fillClrLst>
      <a:schemeClr val="accent2">
        <a:shade val="80000"/>
        <a:alpha val="50000"/>
      </a:schemeClr>
      <a:schemeClr val="accent2">
        <a:alpha val="20000"/>
      </a:schemeClr>
    </dgm:fillClrLst>
    <dgm:linClrLst meth="repeat">
      <a:schemeClr val="lt1"/>
    </dgm:linClrLst>
    <dgm:effectClrLst/>
    <dgm:txLinClrLst/>
    <dgm:txFillClrLst/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2281BA30-2E37-4D38-BB16-D8E4CF435F31}" type="doc">
      <dgm:prSet loTypeId="urn:microsoft.com/office/officeart/2005/8/layout/venn3" loCatId="relationship" qsTypeId="urn:microsoft.com/office/officeart/2005/8/quickstyle/simple1" qsCatId="simple" csTypeId="urn:microsoft.com/office/officeart/2005/8/colors/accent2_5" csCatId="accent2" phldr="1"/>
      <dgm:spPr/>
      <dgm:t>
        <a:bodyPr/>
        <a:p>
          <a:endParaRPr lang="zh-CN" altLang="en-US"/>
        </a:p>
      </dgm:t>
    </dgm:pt>
    <dgm:pt modelId="{9B605A92-3FE3-4E8F-9BCD-1D6013E4A6F3}">
      <dgm:prSet phldrT="[文本]" custT="1"/>
      <dgm:spPr/>
      <dgm:t>
        <a:bodyPr/>
        <a:p>
          <a:pPr algn="ctr"/>
          <a:r>
            <a:rPr lang="zh-CN" altLang="en-US" sz="900" b="1">
              <a:solidFill>
                <a:schemeClr val="bg2">
                  <a:lumMod val="10000"/>
                </a:schemeClr>
              </a:solidFill>
              <a:latin typeface="微软雅黑" panose="020B0503020204020204" pitchFamily="2" charset="-122"/>
              <a:ea typeface="微软雅黑" panose="020B0503020204020204" pitchFamily="2" charset="-122"/>
            </a:rPr>
            <a:t>入职新员工培训</a:t>
          </a:r>
        </a:p>
      </dgm:t>
    </dgm:pt>
    <dgm:pt modelId="{07309DB7-812E-4F46-9950-1104B04C98F1}" cxnId="{0F1D689E-8012-4BFA-8F8E-2A5187E8A942}" type="parTrans">
      <dgm:prSet/>
      <dgm:spPr/>
      <dgm:t>
        <a:bodyPr/>
        <a:p>
          <a:pPr algn="ctr"/>
          <a:endParaRPr lang="zh-CN" altLang="en-US" sz="3200" b="1">
            <a:solidFill>
              <a:schemeClr val="bg2">
                <a:lumMod val="10000"/>
              </a:schemeClr>
            </a:solidFill>
            <a:latin typeface="微软雅黑" panose="020B0503020204020204" pitchFamily="2" charset="-122"/>
            <a:ea typeface="微软雅黑" panose="020B0503020204020204" pitchFamily="2" charset="-122"/>
          </a:endParaRPr>
        </a:p>
      </dgm:t>
    </dgm:pt>
    <dgm:pt modelId="{2062CCBF-7479-47A2-98D2-EBE03AFEA3C6}" cxnId="{0F1D689E-8012-4BFA-8F8E-2A5187E8A942}" type="sibTrans">
      <dgm:prSet/>
      <dgm:spPr/>
      <dgm:t>
        <a:bodyPr/>
        <a:p>
          <a:pPr algn="ctr"/>
          <a:endParaRPr lang="zh-CN" altLang="en-US" sz="3200" b="1">
            <a:solidFill>
              <a:schemeClr val="bg2">
                <a:lumMod val="10000"/>
              </a:schemeClr>
            </a:solidFill>
            <a:latin typeface="微软雅黑" panose="020B0503020204020204" pitchFamily="2" charset="-122"/>
            <a:ea typeface="微软雅黑" panose="020B0503020204020204" pitchFamily="2" charset="-122"/>
          </a:endParaRPr>
        </a:p>
      </dgm:t>
    </dgm:pt>
    <dgm:pt modelId="{1B7C7024-2E50-4C35-9A5D-C2CBE1F5D993}">
      <dgm:prSet phldrT="[文本]" custT="1"/>
      <dgm:spPr/>
      <dgm:t>
        <a:bodyPr/>
        <a:p>
          <a:pPr algn="ctr"/>
          <a:r>
            <a:rPr lang="zh-CN" altLang="en-US" sz="900" b="1">
              <a:solidFill>
                <a:schemeClr val="bg2">
                  <a:lumMod val="10000"/>
                </a:schemeClr>
              </a:solidFill>
              <a:latin typeface="微软雅黑" panose="020B0503020204020204" pitchFamily="2" charset="-122"/>
              <a:ea typeface="微软雅黑" panose="020B0503020204020204" pitchFamily="2" charset="-122"/>
            </a:rPr>
            <a:t>在岗培训</a:t>
          </a:r>
        </a:p>
      </dgm:t>
    </dgm:pt>
    <dgm:pt modelId="{CC419B9E-4780-441F-B5ED-102DB5043A74}" cxnId="{9ED30908-4620-4313-9B19-497CB5700916}" type="parTrans">
      <dgm:prSet/>
      <dgm:spPr/>
      <dgm:t>
        <a:bodyPr/>
        <a:p>
          <a:pPr algn="ctr"/>
          <a:endParaRPr lang="zh-CN" altLang="en-US" sz="3200" b="1">
            <a:solidFill>
              <a:schemeClr val="bg2">
                <a:lumMod val="10000"/>
              </a:schemeClr>
            </a:solidFill>
            <a:latin typeface="微软雅黑" panose="020B0503020204020204" pitchFamily="2" charset="-122"/>
            <a:ea typeface="微软雅黑" panose="020B0503020204020204" pitchFamily="2" charset="-122"/>
          </a:endParaRPr>
        </a:p>
      </dgm:t>
    </dgm:pt>
    <dgm:pt modelId="{FA398202-0ADF-406A-8758-4EAF4673B6AB}" cxnId="{9ED30908-4620-4313-9B19-497CB5700916}" type="sibTrans">
      <dgm:prSet/>
      <dgm:spPr/>
      <dgm:t>
        <a:bodyPr/>
        <a:p>
          <a:pPr algn="ctr"/>
          <a:endParaRPr lang="zh-CN" altLang="en-US" sz="3200" b="1">
            <a:solidFill>
              <a:schemeClr val="bg2">
                <a:lumMod val="10000"/>
              </a:schemeClr>
            </a:solidFill>
            <a:latin typeface="微软雅黑" panose="020B0503020204020204" pitchFamily="2" charset="-122"/>
            <a:ea typeface="微软雅黑" panose="020B0503020204020204" pitchFamily="2" charset="-122"/>
          </a:endParaRPr>
        </a:p>
      </dgm:t>
    </dgm:pt>
    <dgm:pt modelId="{9125843E-2A22-4E6C-9610-2DB484BE6391}">
      <dgm:prSet phldrT="[文本]" custT="1"/>
      <dgm:spPr/>
      <dgm:t>
        <a:bodyPr/>
        <a:p>
          <a:pPr algn="ctr"/>
          <a:r>
            <a:rPr lang="zh-CN" altLang="en-US" sz="900" b="1">
              <a:solidFill>
                <a:schemeClr val="bg2">
                  <a:lumMod val="10000"/>
                </a:schemeClr>
              </a:solidFill>
              <a:latin typeface="微软雅黑" panose="020B0503020204020204" pitchFamily="2" charset="-122"/>
              <a:ea typeface="微软雅黑" panose="020B0503020204020204" pitchFamily="2" charset="-122"/>
            </a:rPr>
            <a:t>业务</a:t>
          </a:r>
          <a:r>
            <a:rPr lang="en-US" altLang="zh-CN" sz="900" b="1">
              <a:solidFill>
                <a:schemeClr val="bg2">
                  <a:lumMod val="10000"/>
                </a:schemeClr>
              </a:solidFill>
              <a:latin typeface="微软雅黑" panose="020B0503020204020204" pitchFamily="2" charset="-122"/>
              <a:ea typeface="微软雅黑" panose="020B0503020204020204" pitchFamily="2" charset="-122"/>
            </a:rPr>
            <a:t>mentor</a:t>
          </a:r>
          <a:r>
            <a:rPr lang="zh-CN" altLang="en-US" sz="900" b="1">
              <a:solidFill>
                <a:schemeClr val="bg2">
                  <a:lumMod val="10000"/>
                </a:schemeClr>
              </a:solidFill>
              <a:latin typeface="微软雅黑" panose="020B0503020204020204" pitchFamily="2" charset="-122"/>
              <a:ea typeface="微软雅黑" panose="020B0503020204020204" pitchFamily="2" charset="-122"/>
            </a:rPr>
            <a:t>辅导</a:t>
          </a:r>
        </a:p>
      </dgm:t>
    </dgm:pt>
    <dgm:pt modelId="{FDA5DC8B-FB3C-4168-94F1-C4EB36FE1FB1}" cxnId="{25FFED79-2F22-4786-98F3-58D2F0570324}" type="parTrans">
      <dgm:prSet/>
      <dgm:spPr/>
      <dgm:t>
        <a:bodyPr/>
        <a:p>
          <a:pPr algn="ctr"/>
          <a:endParaRPr lang="zh-CN" altLang="en-US" sz="3200" b="1">
            <a:solidFill>
              <a:schemeClr val="bg2">
                <a:lumMod val="10000"/>
              </a:schemeClr>
            </a:solidFill>
            <a:latin typeface="微软雅黑" panose="020B0503020204020204" pitchFamily="2" charset="-122"/>
            <a:ea typeface="微软雅黑" panose="020B0503020204020204" pitchFamily="2" charset="-122"/>
          </a:endParaRPr>
        </a:p>
      </dgm:t>
    </dgm:pt>
    <dgm:pt modelId="{642635F6-1EBB-43AF-B10C-AA7BAC06937F}" cxnId="{25FFED79-2F22-4786-98F3-58D2F0570324}" type="sibTrans">
      <dgm:prSet/>
      <dgm:spPr/>
      <dgm:t>
        <a:bodyPr/>
        <a:p>
          <a:pPr algn="ctr"/>
          <a:endParaRPr lang="zh-CN" altLang="en-US" sz="3200" b="1">
            <a:solidFill>
              <a:schemeClr val="bg2">
                <a:lumMod val="10000"/>
              </a:schemeClr>
            </a:solidFill>
            <a:latin typeface="微软雅黑" panose="020B0503020204020204" pitchFamily="2" charset="-122"/>
            <a:ea typeface="微软雅黑" panose="020B0503020204020204" pitchFamily="2" charset="-122"/>
          </a:endParaRPr>
        </a:p>
      </dgm:t>
    </dgm:pt>
    <dgm:pt modelId="{23180ED9-6954-487A-A7E8-82E1153C1609}">
      <dgm:prSet phldrT="[文本]" custT="1"/>
      <dgm:spPr/>
      <dgm:t>
        <a:bodyPr/>
        <a:p>
          <a:pPr algn="ctr"/>
          <a:r>
            <a:rPr lang="zh-CN" altLang="en-US" sz="900" b="1">
              <a:solidFill>
                <a:schemeClr val="bg2">
                  <a:lumMod val="10000"/>
                </a:schemeClr>
              </a:solidFill>
              <a:latin typeface="微软雅黑" panose="020B0503020204020204" pitchFamily="2" charset="-122"/>
              <a:ea typeface="微软雅黑" panose="020B0503020204020204" pitchFamily="2" charset="-122"/>
            </a:rPr>
            <a:t>区域范围或全国统一培训</a:t>
          </a:r>
        </a:p>
      </dgm:t>
    </dgm:pt>
    <dgm:pt modelId="{A4AAE3AE-CED5-452E-8476-BDDACBFEB219}" cxnId="{B4224163-2534-4DC4-942F-A3600BF22319}" type="parTrans">
      <dgm:prSet/>
      <dgm:spPr/>
      <dgm:t>
        <a:bodyPr/>
        <a:p>
          <a:pPr algn="ctr"/>
          <a:endParaRPr lang="zh-CN" altLang="en-US" sz="3200" b="1">
            <a:solidFill>
              <a:schemeClr val="bg2">
                <a:lumMod val="10000"/>
              </a:schemeClr>
            </a:solidFill>
            <a:latin typeface="微软雅黑" panose="020B0503020204020204" pitchFamily="2" charset="-122"/>
            <a:ea typeface="微软雅黑" panose="020B0503020204020204" pitchFamily="2" charset="-122"/>
          </a:endParaRPr>
        </a:p>
      </dgm:t>
    </dgm:pt>
    <dgm:pt modelId="{A2B1583F-FF23-4F4C-8F51-1957F909296C}" cxnId="{B4224163-2534-4DC4-942F-A3600BF22319}" type="sibTrans">
      <dgm:prSet/>
      <dgm:spPr/>
      <dgm:t>
        <a:bodyPr/>
        <a:p>
          <a:pPr algn="ctr"/>
          <a:endParaRPr lang="zh-CN" altLang="en-US" sz="3200" b="1">
            <a:solidFill>
              <a:schemeClr val="bg2">
                <a:lumMod val="10000"/>
              </a:schemeClr>
            </a:solidFill>
            <a:latin typeface="微软雅黑" panose="020B0503020204020204" pitchFamily="2" charset="-122"/>
            <a:ea typeface="微软雅黑" panose="020B0503020204020204" pitchFamily="2" charset="-122"/>
          </a:endParaRPr>
        </a:p>
      </dgm:t>
    </dgm:pt>
    <dgm:pt modelId="{2F0E3BFC-0D81-41FE-B4CD-CF4FE40575B7}">
      <dgm:prSet custT="1"/>
      <dgm:spPr/>
      <dgm:t>
        <a:bodyPr/>
        <a:p>
          <a:pPr algn="ctr"/>
          <a:r>
            <a:rPr lang="zh-CN" altLang="en-US" sz="900" b="1">
              <a:solidFill>
                <a:schemeClr val="bg2">
                  <a:lumMod val="10000"/>
                </a:schemeClr>
              </a:solidFill>
              <a:latin typeface="微软雅黑" panose="020B0503020204020204" pitchFamily="2" charset="-122"/>
              <a:ea typeface="微软雅黑" panose="020B0503020204020204" pitchFamily="2" charset="-122"/>
            </a:rPr>
            <a:t>晋升辅导</a:t>
          </a:r>
        </a:p>
      </dgm:t>
    </dgm:pt>
    <dgm:pt modelId="{08C59F36-2FD2-446C-8906-04988ED59C58}" cxnId="{CCAD2BBF-E49A-4F06-84AC-F58F3FCC9C48}" type="parTrans">
      <dgm:prSet/>
      <dgm:spPr/>
      <dgm:t>
        <a:bodyPr/>
        <a:p>
          <a:pPr algn="ctr"/>
          <a:endParaRPr lang="zh-CN" altLang="en-US" sz="3200" b="1">
            <a:solidFill>
              <a:schemeClr val="bg2">
                <a:lumMod val="10000"/>
              </a:schemeClr>
            </a:solidFill>
            <a:latin typeface="微软雅黑" panose="020B0503020204020204" pitchFamily="2" charset="-122"/>
            <a:ea typeface="微软雅黑" panose="020B0503020204020204" pitchFamily="2" charset="-122"/>
          </a:endParaRPr>
        </a:p>
      </dgm:t>
    </dgm:pt>
    <dgm:pt modelId="{0B5C646E-B052-4AD0-AAD1-06D9269C1454}" cxnId="{CCAD2BBF-E49A-4F06-84AC-F58F3FCC9C48}" type="sibTrans">
      <dgm:prSet/>
      <dgm:spPr/>
      <dgm:t>
        <a:bodyPr/>
        <a:p>
          <a:pPr algn="ctr"/>
          <a:endParaRPr lang="zh-CN" altLang="en-US" sz="3200" b="1">
            <a:solidFill>
              <a:schemeClr val="bg2">
                <a:lumMod val="10000"/>
              </a:schemeClr>
            </a:solidFill>
            <a:latin typeface="微软雅黑" panose="020B0503020204020204" pitchFamily="2" charset="-122"/>
            <a:ea typeface="微软雅黑" panose="020B0503020204020204" pitchFamily="2" charset="-122"/>
          </a:endParaRPr>
        </a:p>
      </dgm:t>
    </dgm:pt>
    <dgm:pt modelId="{7F807557-8AC9-456C-9DBF-E456981E4474}" type="pres">
      <dgm:prSet presAssocID="{2281BA30-2E37-4D38-BB16-D8E4CF435F31}" presName="Name0" presStyleCnt="0">
        <dgm:presLayoutVars>
          <dgm:dir/>
          <dgm:resizeHandles val="exact"/>
        </dgm:presLayoutVars>
      </dgm:prSet>
      <dgm:spPr/>
      <dgm:t>
        <a:bodyPr/>
        <a:p>
          <a:endParaRPr lang="zh-CN" altLang="en-US"/>
        </a:p>
      </dgm:t>
    </dgm:pt>
    <dgm:pt modelId="{54F31AD3-9349-4DFE-9B16-FA7ADA143F6D}" type="pres">
      <dgm:prSet presAssocID="{9B605A92-3FE3-4E8F-9BCD-1D6013E4A6F3}" presName="Name5" presStyleLbl="vennNode1" presStyleIdx="0" presStyleCnt="5">
        <dgm:presLayoutVars>
          <dgm:bulletEnabled val="1"/>
        </dgm:presLayoutVars>
      </dgm:prSet>
      <dgm:spPr/>
      <dgm:t>
        <a:bodyPr/>
        <a:p>
          <a:endParaRPr lang="zh-CN" altLang="en-US"/>
        </a:p>
      </dgm:t>
    </dgm:pt>
    <dgm:pt modelId="{56E18A2D-EA4D-4F55-8AFB-88A86254F3F0}" type="pres">
      <dgm:prSet presAssocID="{2062CCBF-7479-47A2-98D2-EBE03AFEA3C6}" presName="space" presStyleCnt="0"/>
      <dgm:spPr/>
    </dgm:pt>
    <dgm:pt modelId="{A6880089-72D9-45E5-89C4-D58BC963F048}" type="pres">
      <dgm:prSet presAssocID="{1B7C7024-2E50-4C35-9A5D-C2CBE1F5D993}" presName="Name5" presStyleLbl="vennNode1" presStyleIdx="1" presStyleCnt="5">
        <dgm:presLayoutVars>
          <dgm:bulletEnabled val="1"/>
        </dgm:presLayoutVars>
      </dgm:prSet>
      <dgm:spPr/>
      <dgm:t>
        <a:bodyPr/>
        <a:p>
          <a:endParaRPr lang="zh-CN" altLang="en-US"/>
        </a:p>
      </dgm:t>
    </dgm:pt>
    <dgm:pt modelId="{4E4C0757-A703-47A8-A31D-24CC50F596E0}" type="pres">
      <dgm:prSet presAssocID="{FA398202-0ADF-406A-8758-4EAF4673B6AB}" presName="space" presStyleCnt="0"/>
      <dgm:spPr/>
    </dgm:pt>
    <dgm:pt modelId="{B637AF9D-1E7A-4841-881A-4D95C60F2288}" type="pres">
      <dgm:prSet presAssocID="{9125843E-2A22-4E6C-9610-2DB484BE6391}" presName="Name5" presStyleLbl="vennNode1" presStyleIdx="2" presStyleCnt="5">
        <dgm:presLayoutVars>
          <dgm:bulletEnabled val="1"/>
        </dgm:presLayoutVars>
      </dgm:prSet>
      <dgm:spPr/>
      <dgm:t>
        <a:bodyPr/>
        <a:p>
          <a:endParaRPr lang="zh-CN" altLang="en-US"/>
        </a:p>
      </dgm:t>
    </dgm:pt>
    <dgm:pt modelId="{3970D4E4-BA35-4133-918B-319C9E53A16C}" type="pres">
      <dgm:prSet presAssocID="{642635F6-1EBB-43AF-B10C-AA7BAC06937F}" presName="space" presStyleCnt="0"/>
      <dgm:spPr/>
    </dgm:pt>
    <dgm:pt modelId="{F40C0F28-B0A4-431C-A13B-397EFC23B81F}" type="pres">
      <dgm:prSet presAssocID="{23180ED9-6954-487A-A7E8-82E1153C1609}" presName="Name5" presStyleLbl="vennNode1" presStyleIdx="3" presStyleCnt="5">
        <dgm:presLayoutVars>
          <dgm:bulletEnabled val="1"/>
        </dgm:presLayoutVars>
      </dgm:prSet>
      <dgm:spPr/>
      <dgm:t>
        <a:bodyPr/>
        <a:p>
          <a:endParaRPr lang="zh-CN" altLang="en-US"/>
        </a:p>
      </dgm:t>
    </dgm:pt>
    <dgm:pt modelId="{722E6BA3-0127-4887-A89F-7E14B4E39A50}" type="pres">
      <dgm:prSet presAssocID="{A2B1583F-FF23-4F4C-8F51-1957F909296C}" presName="space" presStyleCnt="0"/>
      <dgm:spPr/>
    </dgm:pt>
    <dgm:pt modelId="{D4303C46-BF20-46B0-A895-E9FA158A3B06}" type="pres">
      <dgm:prSet presAssocID="{2F0E3BFC-0D81-41FE-B4CD-CF4FE40575B7}" presName="Name5" presStyleLbl="vennNode1" presStyleIdx="4" presStyleCnt="5">
        <dgm:presLayoutVars>
          <dgm:bulletEnabled val="1"/>
        </dgm:presLayoutVars>
      </dgm:prSet>
      <dgm:spPr/>
      <dgm:t>
        <a:bodyPr/>
        <a:p>
          <a:endParaRPr lang="zh-CN" altLang="en-US"/>
        </a:p>
      </dgm:t>
    </dgm:pt>
  </dgm:ptLst>
  <dgm:cxnLst>
    <dgm:cxn modelId="{9ED30908-4620-4313-9B19-497CB5700916}" srcId="{2281BA30-2E37-4D38-BB16-D8E4CF435F31}" destId="{1B7C7024-2E50-4C35-9A5D-C2CBE1F5D993}" srcOrd="1" destOrd="0" parTransId="{CC419B9E-4780-441F-B5ED-102DB5043A74}" sibTransId="{FA398202-0ADF-406A-8758-4EAF4673B6AB}"/>
    <dgm:cxn modelId="{020D125E-E185-4860-9A03-C094BE652715}" type="presOf" srcId="{9125843E-2A22-4E6C-9610-2DB484BE6391}" destId="{B637AF9D-1E7A-4841-881A-4D95C60F2288}" srcOrd="0" destOrd="0" presId="urn:microsoft.com/office/officeart/2005/8/layout/venn3"/>
    <dgm:cxn modelId="{8403B7B1-DE23-4DA1-91B0-C43D87859C18}" type="presOf" srcId="{2F0E3BFC-0D81-41FE-B4CD-CF4FE40575B7}" destId="{D4303C46-BF20-46B0-A895-E9FA158A3B06}" srcOrd="0" destOrd="0" presId="urn:microsoft.com/office/officeart/2005/8/layout/venn3"/>
    <dgm:cxn modelId="{BAE0EA08-F4FA-4C38-9DA3-C999EAC21304}" type="presOf" srcId="{2281BA30-2E37-4D38-BB16-D8E4CF435F31}" destId="{7F807557-8AC9-456C-9DBF-E456981E4474}" srcOrd="0" destOrd="0" presId="urn:microsoft.com/office/officeart/2005/8/layout/venn3"/>
    <dgm:cxn modelId="{2AB4429F-3B0F-4773-835E-1FCA61B4E95F}" type="presOf" srcId="{23180ED9-6954-487A-A7E8-82E1153C1609}" destId="{F40C0F28-B0A4-431C-A13B-397EFC23B81F}" srcOrd="0" destOrd="0" presId="urn:microsoft.com/office/officeart/2005/8/layout/venn3"/>
    <dgm:cxn modelId="{CCAD2BBF-E49A-4F06-84AC-F58F3FCC9C48}" srcId="{2281BA30-2E37-4D38-BB16-D8E4CF435F31}" destId="{2F0E3BFC-0D81-41FE-B4CD-CF4FE40575B7}" srcOrd="4" destOrd="0" parTransId="{08C59F36-2FD2-446C-8906-04988ED59C58}" sibTransId="{0B5C646E-B052-4AD0-AAD1-06D9269C1454}"/>
    <dgm:cxn modelId="{25FFED79-2F22-4786-98F3-58D2F0570324}" srcId="{2281BA30-2E37-4D38-BB16-D8E4CF435F31}" destId="{9125843E-2A22-4E6C-9610-2DB484BE6391}" srcOrd="2" destOrd="0" parTransId="{FDA5DC8B-FB3C-4168-94F1-C4EB36FE1FB1}" sibTransId="{642635F6-1EBB-43AF-B10C-AA7BAC06937F}"/>
    <dgm:cxn modelId="{6B3E9AD7-D58B-486F-8BBB-6A235A66751F}" type="presOf" srcId="{1B7C7024-2E50-4C35-9A5D-C2CBE1F5D993}" destId="{A6880089-72D9-45E5-89C4-D58BC963F048}" srcOrd="0" destOrd="0" presId="urn:microsoft.com/office/officeart/2005/8/layout/venn3"/>
    <dgm:cxn modelId="{F13C04DF-F62E-41EB-AB0D-60224B593110}" type="presOf" srcId="{9B605A92-3FE3-4E8F-9BCD-1D6013E4A6F3}" destId="{54F31AD3-9349-4DFE-9B16-FA7ADA143F6D}" srcOrd="0" destOrd="0" presId="urn:microsoft.com/office/officeart/2005/8/layout/venn3"/>
    <dgm:cxn modelId="{0F1D689E-8012-4BFA-8F8E-2A5187E8A942}" srcId="{2281BA30-2E37-4D38-BB16-D8E4CF435F31}" destId="{9B605A92-3FE3-4E8F-9BCD-1D6013E4A6F3}" srcOrd="0" destOrd="0" parTransId="{07309DB7-812E-4F46-9950-1104B04C98F1}" sibTransId="{2062CCBF-7479-47A2-98D2-EBE03AFEA3C6}"/>
    <dgm:cxn modelId="{B4224163-2534-4DC4-942F-A3600BF22319}" srcId="{2281BA30-2E37-4D38-BB16-D8E4CF435F31}" destId="{23180ED9-6954-487A-A7E8-82E1153C1609}" srcOrd="3" destOrd="0" parTransId="{A4AAE3AE-CED5-452E-8476-BDDACBFEB219}" sibTransId="{A2B1583F-FF23-4F4C-8F51-1957F909296C}"/>
    <dgm:cxn modelId="{C7E8F930-BEB3-4882-BF1B-CCA06E1D6EF2}" type="presParOf" srcId="{7F807557-8AC9-456C-9DBF-E456981E4474}" destId="{54F31AD3-9349-4DFE-9B16-FA7ADA143F6D}" srcOrd="0" destOrd="0" presId="urn:microsoft.com/office/officeart/2005/8/layout/venn3"/>
    <dgm:cxn modelId="{0FEE7558-99FA-47B7-AC8B-126E1D6CA690}" type="presParOf" srcId="{7F807557-8AC9-456C-9DBF-E456981E4474}" destId="{56E18A2D-EA4D-4F55-8AFB-88A86254F3F0}" srcOrd="1" destOrd="0" presId="urn:microsoft.com/office/officeart/2005/8/layout/venn3"/>
    <dgm:cxn modelId="{274DC844-7AC1-473F-A3F3-7BA7E58A48F9}" type="presParOf" srcId="{7F807557-8AC9-456C-9DBF-E456981E4474}" destId="{A6880089-72D9-45E5-89C4-D58BC963F048}" srcOrd="2" destOrd="0" presId="urn:microsoft.com/office/officeart/2005/8/layout/venn3"/>
    <dgm:cxn modelId="{408F08A0-6C63-44FD-B54C-64971ADF1AF4}" type="presParOf" srcId="{7F807557-8AC9-456C-9DBF-E456981E4474}" destId="{4E4C0757-A703-47A8-A31D-24CC50F596E0}" srcOrd="3" destOrd="0" presId="urn:microsoft.com/office/officeart/2005/8/layout/venn3"/>
    <dgm:cxn modelId="{82A958FE-D44F-4A38-9FF9-17522F150DEA}" type="presParOf" srcId="{7F807557-8AC9-456C-9DBF-E456981E4474}" destId="{B637AF9D-1E7A-4841-881A-4D95C60F2288}" srcOrd="4" destOrd="0" presId="urn:microsoft.com/office/officeart/2005/8/layout/venn3"/>
    <dgm:cxn modelId="{F4E77EA2-3607-4C71-BB8C-0E07B9204F84}" type="presParOf" srcId="{7F807557-8AC9-456C-9DBF-E456981E4474}" destId="{3970D4E4-BA35-4133-918B-319C9E53A16C}" srcOrd="5" destOrd="0" presId="urn:microsoft.com/office/officeart/2005/8/layout/venn3"/>
    <dgm:cxn modelId="{CB3FF8A9-9AF8-487A-98B4-65B4DCE158EC}" type="presParOf" srcId="{7F807557-8AC9-456C-9DBF-E456981E4474}" destId="{F40C0F28-B0A4-431C-A13B-397EFC23B81F}" srcOrd="6" destOrd="0" presId="urn:microsoft.com/office/officeart/2005/8/layout/venn3"/>
    <dgm:cxn modelId="{BE51A5EE-E569-4B42-B5BA-98DFAEBBE71B}" type="presParOf" srcId="{7F807557-8AC9-456C-9DBF-E456981E4474}" destId="{722E6BA3-0127-4887-A89F-7E14B4E39A50}" srcOrd="7" destOrd="0" presId="urn:microsoft.com/office/officeart/2005/8/layout/venn3"/>
    <dgm:cxn modelId="{51C30380-497E-4103-AF73-BD99E70BB37E}" type="presParOf" srcId="{7F807557-8AC9-456C-9DBF-E456981E4474}" destId="{D4303C46-BF20-46B0-A895-E9FA158A3B06}" srcOrd="8" destOrd="0" presId="urn:microsoft.com/office/officeart/2005/8/layout/venn3"/>
  </dgm:cxnLst>
  <dgm:bg/>
  <dgm:whole/>
  <dgm:extLst>
    <a:ext uri="http://schemas.microsoft.com/office/drawing/2008/diagram">
      <dsp:dataModelExt xmlns:dsp="http://schemas.microsoft.com/office/drawing/2008/diagram" relId="rId1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54F31AD3-9349-4DFE-9B16-FA7ADA143F6D}">
      <dsp:nvSpPr>
        <dsp:cNvPr id="0" name=""/>
        <dsp:cNvSpPr/>
      </dsp:nvSpPr>
      <dsp:spPr>
        <a:xfrm>
          <a:off x="984680" y="435"/>
          <a:ext cx="800499" cy="800499"/>
        </a:xfrm>
        <a:prstGeom prst="ellipse">
          <a:avLst/>
        </a:prstGeom>
        <a:solidFill>
          <a:schemeClr val="accent2">
            <a:shade val="80000"/>
            <a:alpha val="5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44054" tIns="11430" rIns="44054" bIns="1143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900" b="1" kern="1200">
              <a:solidFill>
                <a:schemeClr val="bg2">
                  <a:lumMod val="10000"/>
                </a:schemeClr>
              </a:solidFill>
              <a:latin typeface="微软雅黑" panose="020B0503020204020204" pitchFamily="34" charset="-122"/>
              <a:ea typeface="微软雅黑" panose="020B0503020204020204" pitchFamily="34" charset="-122"/>
            </a:rPr>
            <a:t>入职新员工培训</a:t>
          </a:r>
        </a:p>
      </dsp:txBody>
      <dsp:txXfrm>
        <a:off x="1101910" y="117665"/>
        <a:ext cx="566039" cy="566039"/>
      </dsp:txXfrm>
    </dsp:sp>
    <dsp:sp modelId="{A6880089-72D9-45E5-89C4-D58BC963F048}">
      <dsp:nvSpPr>
        <dsp:cNvPr id="0" name=""/>
        <dsp:cNvSpPr/>
      </dsp:nvSpPr>
      <dsp:spPr>
        <a:xfrm>
          <a:off x="1625080" y="435"/>
          <a:ext cx="800499" cy="800499"/>
        </a:xfrm>
        <a:prstGeom prst="ellipse">
          <a:avLst/>
        </a:prstGeom>
        <a:solidFill>
          <a:schemeClr val="accent2">
            <a:shade val="80000"/>
            <a:alpha val="50000"/>
            <a:hueOff val="14"/>
            <a:satOff val="3979"/>
            <a:lumOff val="1367"/>
            <a:alphaOff val="-75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44054" tIns="11430" rIns="44054" bIns="1143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900" b="1" kern="1200">
              <a:solidFill>
                <a:schemeClr val="bg2">
                  <a:lumMod val="10000"/>
                </a:schemeClr>
              </a:solidFill>
              <a:latin typeface="微软雅黑" panose="020B0503020204020204" pitchFamily="34" charset="-122"/>
              <a:ea typeface="微软雅黑" panose="020B0503020204020204" pitchFamily="34" charset="-122"/>
            </a:rPr>
            <a:t>在岗培训</a:t>
          </a:r>
        </a:p>
      </dsp:txBody>
      <dsp:txXfrm>
        <a:off x="1742310" y="117665"/>
        <a:ext cx="566039" cy="566039"/>
      </dsp:txXfrm>
    </dsp:sp>
    <dsp:sp modelId="{B637AF9D-1E7A-4841-881A-4D95C60F2288}">
      <dsp:nvSpPr>
        <dsp:cNvPr id="0" name=""/>
        <dsp:cNvSpPr/>
      </dsp:nvSpPr>
      <dsp:spPr>
        <a:xfrm>
          <a:off x="2265480" y="435"/>
          <a:ext cx="800499" cy="800499"/>
        </a:xfrm>
        <a:prstGeom prst="ellipse">
          <a:avLst/>
        </a:prstGeom>
        <a:solidFill>
          <a:schemeClr val="accent2">
            <a:shade val="80000"/>
            <a:alpha val="50000"/>
            <a:hueOff val="28"/>
            <a:satOff val="7959"/>
            <a:lumOff val="2733"/>
            <a:alphaOff val="-15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44054" tIns="11430" rIns="44054" bIns="1143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900" b="1" kern="1200">
              <a:solidFill>
                <a:schemeClr val="bg2">
                  <a:lumMod val="10000"/>
                </a:schemeClr>
              </a:solidFill>
              <a:latin typeface="微软雅黑" panose="020B0503020204020204" pitchFamily="34" charset="-122"/>
              <a:ea typeface="微软雅黑" panose="020B0503020204020204" pitchFamily="34" charset="-122"/>
            </a:rPr>
            <a:t>业务</a:t>
          </a:r>
          <a:r>
            <a:rPr lang="en-US" altLang="zh-CN" sz="900" b="1" kern="1200">
              <a:solidFill>
                <a:schemeClr val="bg2">
                  <a:lumMod val="10000"/>
                </a:schemeClr>
              </a:solidFill>
              <a:latin typeface="微软雅黑" panose="020B0503020204020204" pitchFamily="34" charset="-122"/>
              <a:ea typeface="微软雅黑" panose="020B0503020204020204" pitchFamily="34" charset="-122"/>
            </a:rPr>
            <a:t>mentor</a:t>
          </a:r>
          <a:r>
            <a:rPr lang="zh-CN" altLang="en-US" sz="900" b="1" kern="1200">
              <a:solidFill>
                <a:schemeClr val="bg2">
                  <a:lumMod val="10000"/>
                </a:schemeClr>
              </a:solidFill>
              <a:latin typeface="微软雅黑" panose="020B0503020204020204" pitchFamily="34" charset="-122"/>
              <a:ea typeface="微软雅黑" panose="020B0503020204020204" pitchFamily="34" charset="-122"/>
            </a:rPr>
            <a:t>辅导</a:t>
          </a:r>
        </a:p>
      </dsp:txBody>
      <dsp:txXfrm>
        <a:off x="2382710" y="117665"/>
        <a:ext cx="566039" cy="566039"/>
      </dsp:txXfrm>
    </dsp:sp>
    <dsp:sp modelId="{F40C0F28-B0A4-431C-A13B-397EFC23B81F}">
      <dsp:nvSpPr>
        <dsp:cNvPr id="0" name=""/>
        <dsp:cNvSpPr/>
      </dsp:nvSpPr>
      <dsp:spPr>
        <a:xfrm>
          <a:off x="2905879" y="435"/>
          <a:ext cx="800499" cy="800499"/>
        </a:xfrm>
        <a:prstGeom prst="ellipse">
          <a:avLst/>
        </a:prstGeom>
        <a:solidFill>
          <a:schemeClr val="accent2">
            <a:shade val="80000"/>
            <a:alpha val="50000"/>
            <a:hueOff val="43"/>
            <a:satOff val="11938"/>
            <a:lumOff val="4100"/>
            <a:alphaOff val="-225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44054" tIns="11430" rIns="44054" bIns="1143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900" b="1" kern="1200">
              <a:solidFill>
                <a:schemeClr val="bg2">
                  <a:lumMod val="10000"/>
                </a:schemeClr>
              </a:solidFill>
              <a:latin typeface="微软雅黑" panose="020B0503020204020204" pitchFamily="34" charset="-122"/>
              <a:ea typeface="微软雅黑" panose="020B0503020204020204" pitchFamily="34" charset="-122"/>
            </a:rPr>
            <a:t>区域范围或全国统一培训</a:t>
          </a:r>
        </a:p>
      </dsp:txBody>
      <dsp:txXfrm>
        <a:off x="3023109" y="117665"/>
        <a:ext cx="566039" cy="566039"/>
      </dsp:txXfrm>
    </dsp:sp>
    <dsp:sp modelId="{D4303C46-BF20-46B0-A895-E9FA158A3B06}">
      <dsp:nvSpPr>
        <dsp:cNvPr id="0" name=""/>
        <dsp:cNvSpPr/>
      </dsp:nvSpPr>
      <dsp:spPr>
        <a:xfrm>
          <a:off x="3546279" y="435"/>
          <a:ext cx="800499" cy="800499"/>
        </a:xfrm>
        <a:prstGeom prst="ellipse">
          <a:avLst/>
        </a:prstGeom>
        <a:solidFill>
          <a:schemeClr val="accent2">
            <a:shade val="80000"/>
            <a:alpha val="50000"/>
            <a:hueOff val="57"/>
            <a:satOff val="15917"/>
            <a:lumOff val="5467"/>
            <a:alphaOff val="-30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44054" tIns="11430" rIns="44054" bIns="1143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900" b="1" kern="1200">
              <a:solidFill>
                <a:schemeClr val="bg2">
                  <a:lumMod val="10000"/>
                </a:schemeClr>
              </a:solidFill>
              <a:latin typeface="微软雅黑" panose="020B0503020204020204" pitchFamily="34" charset="-122"/>
              <a:ea typeface="微软雅黑" panose="020B0503020204020204" pitchFamily="34" charset="-122"/>
            </a:rPr>
            <a:t>晋升辅导</a:t>
          </a:r>
        </a:p>
      </dsp:txBody>
      <dsp:txXfrm>
        <a:off x="3663509" y="117665"/>
        <a:ext cx="566039" cy="56603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enn3">
  <dgm:title val=""/>
  <dgm:desc val=""/>
  <dgm:catLst>
    <dgm:cat type="relationship" pri="29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>
          <dgm:param type="fallback" val="2D"/>
        </dgm:alg>
      </dgm:if>
      <dgm:else name="Name3">
        <dgm:alg type="lin">
          <dgm:param type="linDir" val="fromR"/>
          <dgm:param type="fallback" val="2D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h" for="ch" ptType="node" refType="w" refFor="ch" refPtType="node"/>
      <dgm:constr type="w" for="ch" forName="space" refType="w" refFor="ch" refPtType="node" fact="-0.2"/>
      <dgm:constr type="primFontSz" for="ch" ptType="node" op="equ" val="65"/>
    </dgm:constrLst>
    <dgm:ruleLst/>
    <dgm:forEach name="Name4" axis="ch" ptType="node">
      <dgm:layoutNode name="Name5" styleLbl="vennNode1">
        <dgm:varLst>
          <dgm:bulletEnabled val="1"/>
        </dgm:varLst>
        <dgm:alg type="tx">
          <dgm:param type="txAnchorHorzCh" val="ctr"/>
          <dgm:param type="txAnchorVertCh" val="mid"/>
        </dgm:alg>
        <dgm:shape xmlns:r="http://schemas.openxmlformats.org/officeDocument/2006/relationships" type="ellipse" r:blip="">
          <dgm:adjLst/>
        </dgm:shape>
        <dgm:presOf axis="desOrSelf" ptType="node"/>
        <dgm:constrLst>
          <dgm:constr type="tMarg" refType="primFontSz" fact="0.1"/>
          <dgm:constr type="bMarg" refType="primFontSz" fact="0.1"/>
          <dgm:constr type="lMarg" refType="w" fact="0.156"/>
          <dgm:constr type="rMarg" refType="w" fact="0.156"/>
        </dgm:constrLst>
        <dgm:ruleLst>
          <dgm:rule type="primFontSz" val="5" fact="NaN" max="NaN"/>
        </dgm:ruleLst>
      </dgm:layoutNode>
      <dgm:forEach name="Name6" axis="followSib" ptType="sibTrans" cnt="1">
        <dgm:layoutNode name="space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alignAcc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Node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0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Acc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ibTrans2D1">
    <dgm:scene3d>
      <a:camera prst="orthographicFront"/>
      <a:lightRig rig="threePt" dir="t"/>
    </dgm:scene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callout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ImgPlace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ibTrans2D1">
    <dgm:scene3d>
      <a:camera prst="orthographicFront"/>
      <a:lightRig rig="threePt" dir="t"/>
    </dgm:scene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0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2D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sibTrans1D1">
    <dgm:scene3d>
      <a:camera prst="orthographicFront"/>
      <a:lightRig rig="threePt" dir="t"/>
    </dgm:scene3d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olidAlignAcc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vennNode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</dgm:styleDef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Huawei Technologies Co.,Ltd.</Company>
  <Pages>1</Pages>
  <Words>198</Words>
  <Characters>1129</Characters>
  <Lines>9</Lines>
  <Paragraphs>2</Paragraphs>
  <TotalTime>355</TotalTime>
  <ScaleCrop>false</ScaleCrop>
  <LinksUpToDate>false</LinksUpToDate>
  <CharactersWithSpaces>1325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2019-09-06T03:28:00Z</dcterms:created>
  <dc:creator>Guolijie (Wo)</dc:creator>
  <cp:lastModifiedBy>浅生。</cp:lastModifiedBy>
  <dcterms:modified xsi:type="dcterms:W3CDTF">2021-12-07T07:34:41Z</dcterms:modified>
  <cp:revision>48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(3)S+RDOHFL2MDKoV6lqJncvs76V5tAbO6/z3lDlJYhMFM+Reg23ArPChGdaB6eqJYzNQNOOwL3
WLuxbo+8FZmE48vPvh3dI5DFnU5VNzb40mr5EUjF7yhf24Svupa1ikZcwEqcGEmYqR4zDFwa
5iEJbKloklhl+e/1RSMhK/jiYgAK3Y4PAya0D8HNbu7O4+WJ0Qg+FbJ9vhl9vBBLNIPHP9By
3v6PUWB8wB3my7Iahe</vt:lpwstr>
  </property>
  <property fmtid="{D5CDD505-2E9C-101B-9397-08002B2CF9AE}" pid="3" name="_2015_ms_pID_7253431">
    <vt:lpwstr>TLdyLQ6svL0cEL7M/JWzKQs2ohYDsJYmcY9HP7MDQ9csqwXBHxIKDq
mnbgByPGFSTfi0xop6T8N9Oz8i+CEA1KNpSz9NZIaS896y7X6Gr9bjYr0eIwg/mlNxktgX2O
bfj7f8q7mfAEjWeGntNq++qZ4F23K3tPVP6sGRDwrsMZsOZK94+wtm9G5c63e3WFk0g8ICKs
rC4s8mzTCKv0TLkIiQuC1WcppbHJ+Uo9LNBa</vt:lpwstr>
  </property>
  <property fmtid="{D5CDD505-2E9C-101B-9397-08002B2CF9AE}" pid="4" name="_2015_ms_pID_7253432">
    <vt:lpwstr>0qeSinbFBFOhdJejOIeerBE=</vt:lpwstr>
  </property>
  <property fmtid="{D5CDD505-2E9C-101B-9397-08002B2CF9AE}" pid="5" name="_readonly">
    <vt:lpwstr/>
  </property>
  <property fmtid="{D5CDD505-2E9C-101B-9397-08002B2CF9AE}" pid="6" name="_change">
    <vt:lpwstr/>
  </property>
  <property fmtid="{D5CDD505-2E9C-101B-9397-08002B2CF9AE}" pid="7" name="_full-control">
    <vt:lpwstr/>
  </property>
  <property fmtid="{D5CDD505-2E9C-101B-9397-08002B2CF9AE}" pid="8" name="sflag">
    <vt:lpwstr>1634284307</vt:lpwstr>
  </property>
  <property fmtid="{D5CDD505-2E9C-101B-9397-08002B2CF9AE}" pid="9" name="KSOProductBuildVer">
    <vt:lpwstr>2052-11.1.0.11115</vt:lpwstr>
  </property>
  <property fmtid="{D5CDD505-2E9C-101B-9397-08002B2CF9AE}" pid="10" name="ICV">
    <vt:lpwstr>07AC02D82F7343D3A620F20878C16868</vt:lpwstr>
  </property>
</Properties>
</file>